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4D17" w14:textId="01F86259" w:rsidR="00E94785" w:rsidRPr="00E94785" w:rsidRDefault="00E94785" w:rsidP="00E94785">
      <w:pPr>
        <w:shd w:val="clear" w:color="auto" w:fill="E6E6E6"/>
        <w:spacing w:after="90" w:line="240" w:lineRule="auto"/>
        <w:rPr>
          <w:rFonts w:ascii="inherit" w:eastAsia="Times New Roman" w:hAnsi="inherit" w:cs="Open Sans"/>
          <w:b/>
          <w:bCs/>
          <w:color w:val="FF0000"/>
          <w:kern w:val="0"/>
          <w:sz w:val="32"/>
          <w:szCs w:val="32"/>
          <w:bdr w:val="none" w:sz="0" w:space="0" w:color="auto" w:frame="1"/>
          <w14:ligatures w14:val="none"/>
        </w:rPr>
      </w:pPr>
      <w:r w:rsidRPr="00E94785">
        <w:rPr>
          <w:rFonts w:ascii="inherit" w:eastAsia="Times New Roman" w:hAnsi="inherit" w:cs="Open Sans"/>
          <w:b/>
          <w:bCs/>
          <w:color w:val="FF0000"/>
          <w:kern w:val="0"/>
          <w:sz w:val="32"/>
          <w:szCs w:val="32"/>
          <w:bdr w:val="none" w:sz="0" w:space="0" w:color="auto" w:frame="1"/>
          <w14:ligatures w14:val="none"/>
        </w:rPr>
        <w:t>Need 100 words reply to this discussion post with one reference 7</w:t>
      </w:r>
      <w:r w:rsidRPr="00E94785">
        <w:rPr>
          <w:rFonts w:ascii="inherit" w:eastAsia="Times New Roman" w:hAnsi="inherit" w:cs="Open Sans"/>
          <w:b/>
          <w:bCs/>
          <w:color w:val="FF0000"/>
          <w:kern w:val="0"/>
          <w:sz w:val="32"/>
          <w:szCs w:val="32"/>
          <w:bdr w:val="none" w:sz="0" w:space="0" w:color="auto" w:frame="1"/>
          <w:vertAlign w:val="superscript"/>
          <w14:ligatures w14:val="none"/>
        </w:rPr>
        <w:t>th</w:t>
      </w:r>
      <w:r w:rsidRPr="00E94785">
        <w:rPr>
          <w:rFonts w:ascii="inherit" w:eastAsia="Times New Roman" w:hAnsi="inherit" w:cs="Open Sans"/>
          <w:b/>
          <w:bCs/>
          <w:color w:val="FF0000"/>
          <w:kern w:val="0"/>
          <w:sz w:val="32"/>
          <w:szCs w:val="32"/>
          <w:bdr w:val="none" w:sz="0" w:space="0" w:color="auto" w:frame="1"/>
          <w14:ligatures w14:val="none"/>
        </w:rPr>
        <w:t xml:space="preserve"> edition APA format. </w:t>
      </w:r>
    </w:p>
    <w:p w14:paraId="6FE49490" w14:textId="77777777" w:rsidR="00E94785" w:rsidRDefault="00E94785" w:rsidP="00E94785">
      <w:pPr>
        <w:shd w:val="clear" w:color="auto" w:fill="E6E6E6"/>
        <w:spacing w:after="90" w:line="240" w:lineRule="auto"/>
        <w:rPr>
          <w:rFonts w:ascii="inherit" w:eastAsia="Times New Roman" w:hAnsi="inherit" w:cs="Open Sans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</w:pPr>
    </w:p>
    <w:p w14:paraId="2025548C" w14:textId="77777777" w:rsidR="00E94785" w:rsidRDefault="00E94785" w:rsidP="00E94785">
      <w:pPr>
        <w:shd w:val="clear" w:color="auto" w:fill="E6E6E6"/>
        <w:spacing w:after="90" w:line="240" w:lineRule="auto"/>
        <w:rPr>
          <w:rFonts w:ascii="inherit" w:eastAsia="Times New Roman" w:hAnsi="inherit" w:cs="Open Sans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</w:pPr>
    </w:p>
    <w:p w14:paraId="5AAA541A" w14:textId="2F2456DE" w:rsidR="00E94785" w:rsidRPr="00E94785" w:rsidRDefault="00E94785" w:rsidP="00E94785">
      <w:pPr>
        <w:shd w:val="clear" w:color="auto" w:fill="E6E6E6"/>
        <w:spacing w:after="90" w:line="240" w:lineRule="auto"/>
        <w:rPr>
          <w:rFonts w:ascii="Open Sans" w:eastAsia="Times New Roman" w:hAnsi="Open Sans" w:cs="Open Sans"/>
          <w:color w:val="000000"/>
          <w:kern w:val="0"/>
          <w:sz w:val="19"/>
          <w:szCs w:val="19"/>
          <w14:ligatures w14:val="none"/>
        </w:rPr>
      </w:pPr>
      <w:r w:rsidRPr="00E94785">
        <w:rPr>
          <w:rFonts w:ascii="inherit" w:eastAsia="Times New Roman" w:hAnsi="inherit" w:cs="Open Sans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Amanda Griesmer </w:t>
      </w:r>
    </w:p>
    <w:p w14:paraId="53694648" w14:textId="77777777" w:rsidR="00E94785" w:rsidRPr="00E94785" w:rsidRDefault="00E94785" w:rsidP="00E94785">
      <w:pPr>
        <w:shd w:val="clear" w:color="auto" w:fill="E6E6E6"/>
        <w:spacing w:after="0" w:line="240" w:lineRule="auto"/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14:ligatures w14:val="none"/>
        </w:rPr>
      </w:pPr>
      <w:r w:rsidRPr="00E94785">
        <w:rPr>
          <w:rFonts w:ascii="inherit" w:eastAsia="Times New Roman" w:hAnsi="inherit" w:cs="Open Sans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M1 A2 DB: POVERTY AND SDOH</w:t>
      </w:r>
    </w:p>
    <w:p w14:paraId="08BA1406" w14:textId="77777777" w:rsidR="00E94785" w:rsidRPr="00E94785" w:rsidRDefault="00E94785" w:rsidP="00E94785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19"/>
          <w:szCs w:val="19"/>
          <w14:ligatures w14:val="none"/>
        </w:rPr>
      </w:pPr>
      <w:hyperlink r:id="rId4" w:history="1">
        <w:r w:rsidRPr="00E94785">
          <w:rPr>
            <w:rFonts w:ascii="inherit" w:eastAsia="Times New Roman" w:hAnsi="inherit" w:cs="Open Sans"/>
            <w:b/>
            <w:bCs/>
            <w:caps/>
            <w:color w:val="666666"/>
            <w:spacing w:val="15"/>
            <w:kern w:val="0"/>
            <w:sz w:val="15"/>
            <w:szCs w:val="15"/>
            <w:u w:val="single"/>
            <w:bdr w:val="none" w:sz="0" w:space="0" w:color="auto" w:frame="1"/>
            <w:shd w:val="clear" w:color="auto" w:fill="E8E8E8"/>
            <w14:ligatures w14:val="none"/>
          </w:rPr>
          <w:t>COLLAPSE</w:t>
        </w:r>
      </w:hyperlink>
    </w:p>
    <w:p w14:paraId="659ED1D1" w14:textId="77777777" w:rsidR="00E94785" w:rsidRPr="00E94785" w:rsidRDefault="00E94785" w:rsidP="00E947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E94785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18E41C24" w14:textId="77777777" w:rsidR="00E94785" w:rsidRPr="00E94785" w:rsidRDefault="00E94785" w:rsidP="00E94785">
      <w:pPr>
        <w:spacing w:after="0" w:line="480" w:lineRule="atLeast"/>
        <w:ind w:firstLine="72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0218430F" w14:textId="77777777" w:rsidR="00E94785" w:rsidRPr="00E94785" w:rsidRDefault="00E94785" w:rsidP="00E94785">
      <w:pPr>
        <w:spacing w:after="0" w:line="480" w:lineRule="atLeast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        After playing this game I have a whole new perspective on budgeting money and how people may be living day to day. It is very challenging to budget money and have a work-life balance. </w:t>
      </w:r>
    </w:p>
    <w:p w14:paraId="77D14FD7" w14:textId="77777777" w:rsidR="00E94785" w:rsidRPr="00E94785" w:rsidRDefault="00E94785" w:rsidP="00E94785">
      <w:pPr>
        <w:spacing w:after="0" w:line="480" w:lineRule="atLeast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        The first time playing this game I was able to make it to day 13 without any regard to money. I felt satisfied with the choices I made since money was not an issue. I was able to do the things I wanted and be happy with my choices. However, I was also dissatisfied towards the end because I was unable to stay afloat to make it to the full 30 days.</w:t>
      </w:r>
    </w:p>
    <w:p w14:paraId="33F0F08E" w14:textId="77777777" w:rsidR="00E94785" w:rsidRPr="00E94785" w:rsidRDefault="00E94785" w:rsidP="00E94785">
      <w:pPr>
        <w:spacing w:after="0" w:line="480" w:lineRule="atLeast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        When I played the game a second time, I was able to make it the whole 30 days. At first, I felt more confident about being able to make it 30 days. However, at the same time, I also felt sad and defeated. As I was playing, the choices I had to make were not choices that I ideally wanted. I had to </w:t>
      </w:r>
      <w:proofErr w:type="gramStart"/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sacrifice on</w:t>
      </w:r>
      <w:proofErr w:type="gramEnd"/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certain things and miss family outings. Unfortunately, I was unable to do things that made me happy.</w:t>
      </w:r>
    </w:p>
    <w:p w14:paraId="3D495552" w14:textId="77777777" w:rsidR="00E94785" w:rsidRPr="00E94785" w:rsidRDefault="00E94785" w:rsidP="00E94785">
      <w:pPr>
        <w:spacing w:after="0" w:line="480" w:lineRule="atLeast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        For example, I was unable to afford a gym membership. This is important to me because it helps with my mental and physical health. Along with that, I had to do things I knew were not </w:t>
      </w:r>
      <w:proofErr w:type="gramStart"/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ideal, but</w:t>
      </w:r>
      <w:proofErr w:type="gramEnd"/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had to make those sacrifices to stay afloat for the full 30 days. I had to pick and choose what was necessary to stay alive even if that meant getting </w:t>
      </w:r>
      <w:proofErr w:type="gramStart"/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</w:t>
      </w:r>
      <w:proofErr w:type="gramEnd"/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some financial hardships. It felt unfair throughout the game and was very challenging to make it the full 30 days.</w:t>
      </w:r>
    </w:p>
    <w:p w14:paraId="415B0D8B" w14:textId="77777777" w:rsidR="00E94785" w:rsidRPr="00E94785" w:rsidRDefault="00E94785" w:rsidP="00E94785">
      <w:pPr>
        <w:spacing w:after="0" w:line="480" w:lineRule="atLeast"/>
        <w:ind w:firstLine="72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Living in poverty does impact social determinants of health. Social determinants of health are described as how people are brought up </w:t>
      </w:r>
      <w:proofErr w:type="gramStart"/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into</w:t>
      </w:r>
      <w:proofErr w:type="gramEnd"/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the world and what they are exposed to. Research shows that living in a lower socioeconomic area impacts life expectancy (who. 2023). Being in poverty unfortunately has negative impacts on your mental and physical health. It </w:t>
      </w: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influences the way people live and how people react to certain situations (</w:t>
      </w:r>
      <w:proofErr w:type="spellStart"/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Breilh</w:t>
      </w:r>
      <w:proofErr w:type="spellEnd"/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 2023). People living in poverty do not have the same opportunities as people who are not in poverty. Health care services, education, transportation, and income just to name a few are all more challenging to obtain. The quality of life is also at a higher risk for drugs and health issues.</w:t>
      </w:r>
    </w:p>
    <w:p w14:paraId="5D2376C5" w14:textId="77777777" w:rsidR="00E94785" w:rsidRPr="00E94785" w:rsidRDefault="00E94785" w:rsidP="00E94785">
      <w:pPr>
        <w:spacing w:after="0" w:line="480" w:lineRule="atLeast"/>
        <w:ind w:firstLine="72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6B75B645" w14:textId="26252BD7" w:rsidR="00E94785" w:rsidRPr="00E94785" w:rsidRDefault="00E94785" w:rsidP="00E94785">
      <w:pPr>
        <w:spacing w:after="0" w:line="480" w:lineRule="atLeast"/>
        <w:ind w:firstLine="72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1DDE7891" w14:textId="77777777" w:rsidR="00E94785" w:rsidRPr="00E94785" w:rsidRDefault="00E94785" w:rsidP="00E94785">
      <w:pPr>
        <w:spacing w:after="0" w:line="480" w:lineRule="atLeast"/>
        <w:ind w:firstLine="72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7AC4241F" w14:textId="77777777" w:rsidR="00E94785" w:rsidRPr="00E94785" w:rsidRDefault="00E94785" w:rsidP="00E94785">
      <w:pPr>
        <w:spacing w:after="0" w:line="480" w:lineRule="atLeast"/>
        <w:ind w:firstLine="7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References</w:t>
      </w:r>
    </w:p>
    <w:p w14:paraId="51AAA41C" w14:textId="77777777" w:rsidR="00E94785" w:rsidRPr="00E94785" w:rsidRDefault="00E94785" w:rsidP="00E94785">
      <w:pPr>
        <w:spacing w:after="0" w:line="480" w:lineRule="atLeast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Breilh</w:t>
      </w:r>
      <w:proofErr w:type="spellEnd"/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J. (2023). The social determination of health and the transformation of rights and ethics. </w:t>
      </w:r>
      <w:r w:rsidRPr="00E9478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Global Public Health, 18</w:t>
      </w: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(1).  </w:t>
      </w:r>
      <w:hyperlink r:id="rId5" w:history="1">
        <w:r w:rsidRPr="00E9478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https://doi.org/10.1080/17441692.2023.2193830</w:t>
        </w:r>
      </w:hyperlink>
    </w:p>
    <w:p w14:paraId="1A66A0EA" w14:textId="77777777" w:rsidR="00E94785" w:rsidRPr="00E94785" w:rsidRDefault="00E94785" w:rsidP="00E94785">
      <w:pPr>
        <w:spacing w:after="0" w:line="480" w:lineRule="atLeast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6E37E335" w14:textId="77777777" w:rsidR="00E94785" w:rsidRPr="00E94785" w:rsidRDefault="00E94785" w:rsidP="00E94785">
      <w:pPr>
        <w:spacing w:after="0" w:line="480" w:lineRule="atLeast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“Social Determinants of Health.” </w:t>
      </w:r>
      <w:r w:rsidRPr="00E9478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Social Determinants of Health-Healthy People 2030, </w:t>
      </w: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 Aug. 2021, health.gov/healthypeople/priority-areas/social-determinants-health.</w:t>
      </w:r>
    </w:p>
    <w:p w14:paraId="71145CEA" w14:textId="77777777" w:rsidR="00E94785" w:rsidRPr="00E94785" w:rsidRDefault="00E94785" w:rsidP="00E94785">
      <w:pPr>
        <w:spacing w:after="0" w:line="480" w:lineRule="atLeast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hyperlink r:id="rId6" w:tgtFrame="_blank" w:history="1">
        <w:r w:rsidRPr="00E94785">
          <w:rPr>
            <w:rFonts w:ascii="Times New Roman" w:eastAsia="Times New Roman" w:hAnsi="Times New Roman" w:cs="Times New Roman"/>
            <w:b/>
            <w:bCs/>
            <w:color w:val="00799E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14:ligatures w14:val="none"/>
          </w:rPr>
          <w:t>https://health.gov/healthypeople/priority-areas/social-determinants-health</w:t>
        </w:r>
      </w:hyperlink>
    </w:p>
    <w:p w14:paraId="353D762B" w14:textId="77777777" w:rsidR="00E94785" w:rsidRPr="00E94785" w:rsidRDefault="00E94785" w:rsidP="00E94785">
      <w:pPr>
        <w:spacing w:after="0" w:line="480" w:lineRule="atLeast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11EB1E86" w14:textId="77777777" w:rsidR="00E94785" w:rsidRPr="00E94785" w:rsidRDefault="00E94785" w:rsidP="00E94785">
      <w:pPr>
        <w:spacing w:after="0" w:line="480" w:lineRule="atLeast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“Social Determinants of Health.” </w:t>
      </w:r>
      <w:r w:rsidRPr="00E9478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World Health Organization, </w:t>
      </w:r>
      <w:r w:rsidRPr="00E947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World Health Organization, 2023, www.who.int/health-topics/social-determinants-of-health.</w:t>
      </w:r>
    </w:p>
    <w:p w14:paraId="03FEB86D" w14:textId="77777777" w:rsidR="00E94785" w:rsidRPr="00E94785" w:rsidRDefault="00E94785" w:rsidP="00E947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E94785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0E53F3B9" w14:textId="77777777" w:rsidR="00A822B4" w:rsidRDefault="00A822B4"/>
    <w:sectPr w:rsidR="00A8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85"/>
    <w:rsid w:val="00A822B4"/>
    <w:rsid w:val="00E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05D6"/>
  <w15:chartTrackingRefBased/>
  <w15:docId w15:val="{11D5911C-C65A-4453-9779-AA395970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3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.gov/healthypeople/priority-areas/social-determinants-health" TargetMode="External"/><Relationship Id="rId5" Type="http://schemas.openxmlformats.org/officeDocument/2006/relationships/hyperlink" Target="https://doi.org/10.1080/17441692.2023.2193830" TargetMode="External"/><Relationship Id="rId4" Type="http://schemas.openxmlformats.org/officeDocument/2006/relationships/hyperlink" Target="https://blackboard.ohio.edu/webapps/discussionboard/do/message?action=list_messages&amp;course_id=_635660_1&amp;nav=discussion_board_entry&amp;conf_id=_745109_1&amp;forum_id=_873736_1&amp;message_id=_18758209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Roopan Gill</dc:creator>
  <cp:keywords/>
  <dc:description/>
  <cp:lastModifiedBy>Roopan Gill</cp:lastModifiedBy>
  <cp:revision>1</cp:revision>
  <dcterms:created xsi:type="dcterms:W3CDTF">2023-09-20T00:09:00Z</dcterms:created>
  <dcterms:modified xsi:type="dcterms:W3CDTF">2023-09-20T00:11:00Z</dcterms:modified>
</cp:coreProperties>
</file>