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4" w:rsidRPr="008B6C13" w:rsidRDefault="00992A6C" w:rsidP="00552F34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 w:rsidRPr="008B6C13">
        <w:rPr>
          <w:b/>
          <w:sz w:val="36"/>
          <w:szCs w:val="36"/>
        </w:rPr>
        <w:t xml:space="preserve">Outline Matrix - Health Care </w:t>
      </w:r>
      <w:r w:rsidR="00060ED9">
        <w:rPr>
          <w:b/>
          <w:sz w:val="36"/>
          <w:szCs w:val="36"/>
        </w:rPr>
        <w:t xml:space="preserve">Administration </w:t>
      </w:r>
      <w:r w:rsidRPr="008B6C13">
        <w:rPr>
          <w:b/>
          <w:sz w:val="36"/>
          <w:szCs w:val="36"/>
        </w:rPr>
        <w:t>Capstone</w:t>
      </w:r>
    </w:p>
    <w:p w:rsidR="00552F34" w:rsidRDefault="00992A6C" w:rsidP="001802B5">
      <w:pPr>
        <w:spacing w:after="0"/>
        <w:rPr>
          <w:sz w:val="24"/>
          <w:szCs w:val="24"/>
        </w:rPr>
      </w:pPr>
      <w:bookmarkStart w:id="0" w:name="_Hlk66274770"/>
      <w:r>
        <w:rPr>
          <w:sz w:val="24"/>
          <w:szCs w:val="24"/>
        </w:rPr>
        <w:t xml:space="preserve">This template </w:t>
      </w:r>
      <w:r w:rsidR="00E7725F">
        <w:rPr>
          <w:sz w:val="24"/>
          <w:szCs w:val="24"/>
        </w:rPr>
        <w:t>is</w:t>
      </w:r>
      <w:r>
        <w:rPr>
          <w:sz w:val="24"/>
          <w:szCs w:val="24"/>
        </w:rPr>
        <w:t xml:space="preserve"> used for the following: </w:t>
      </w:r>
    </w:p>
    <w:p w:rsidR="0022117B" w:rsidRPr="0022117B" w:rsidRDefault="00992A6C" w:rsidP="001802B5">
      <w:pPr>
        <w:spacing w:after="0"/>
        <w:rPr>
          <w:sz w:val="24"/>
          <w:szCs w:val="24"/>
        </w:rPr>
      </w:pPr>
      <w:r w:rsidRPr="0022117B">
        <w:rPr>
          <w:sz w:val="24"/>
          <w:szCs w:val="24"/>
        </w:rPr>
        <w:t>Unit 3 Assignment: Objectives 1, 2, 3</w:t>
      </w:r>
    </w:p>
    <w:p w:rsidR="0022117B" w:rsidRDefault="00992A6C" w:rsidP="001802B5">
      <w:pPr>
        <w:spacing w:after="0"/>
        <w:rPr>
          <w:sz w:val="24"/>
          <w:szCs w:val="24"/>
        </w:rPr>
      </w:pPr>
      <w:r w:rsidRPr="0022117B">
        <w:rPr>
          <w:sz w:val="24"/>
          <w:szCs w:val="24"/>
        </w:rPr>
        <w:t>Unit 4 Assignment: Objectives 4, 5, 6</w:t>
      </w:r>
    </w:p>
    <w:p w:rsidR="001802B5" w:rsidRPr="008454C9" w:rsidRDefault="001802B5" w:rsidP="001802B5">
      <w:pPr>
        <w:spacing w:after="0"/>
        <w:rPr>
          <w:sz w:val="24"/>
          <w:szCs w:val="24"/>
        </w:rPr>
      </w:pPr>
    </w:p>
    <w:bookmarkEnd w:id="0"/>
    <w:p w:rsidR="0022117B" w:rsidRDefault="00992A6C" w:rsidP="00552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117B">
        <w:rPr>
          <w:sz w:val="24"/>
          <w:szCs w:val="24"/>
        </w:rPr>
        <w:t xml:space="preserve">Column 1: </w:t>
      </w:r>
      <w:r>
        <w:rPr>
          <w:sz w:val="24"/>
          <w:szCs w:val="24"/>
        </w:rPr>
        <w:t>HC</w:t>
      </w:r>
      <w:r w:rsidR="00060ED9">
        <w:rPr>
          <w:sz w:val="24"/>
          <w:szCs w:val="24"/>
        </w:rPr>
        <w:t>A</w:t>
      </w:r>
      <w:r>
        <w:rPr>
          <w:sz w:val="24"/>
          <w:szCs w:val="24"/>
        </w:rPr>
        <w:t xml:space="preserve"> Program </w:t>
      </w:r>
      <w:r w:rsidRPr="0022117B">
        <w:rPr>
          <w:sz w:val="24"/>
          <w:szCs w:val="24"/>
        </w:rPr>
        <w:t xml:space="preserve">Learning Objective (provided for you). </w:t>
      </w:r>
    </w:p>
    <w:p w:rsidR="00A70A86" w:rsidRDefault="00992A6C" w:rsidP="002211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A86">
        <w:rPr>
          <w:sz w:val="24"/>
          <w:szCs w:val="24"/>
        </w:rPr>
        <w:t>Column 2: A</w:t>
      </w:r>
      <w:r w:rsidR="00602E3B" w:rsidRPr="00A70A86">
        <w:rPr>
          <w:sz w:val="24"/>
          <w:szCs w:val="24"/>
        </w:rPr>
        <w:t xml:space="preserve"> summary </w:t>
      </w:r>
      <w:r w:rsidRPr="00A70A86">
        <w:rPr>
          <w:sz w:val="24"/>
          <w:szCs w:val="24"/>
        </w:rPr>
        <w:t xml:space="preserve">of how </w:t>
      </w:r>
      <w:r w:rsidR="00533AAA" w:rsidRPr="00A70A86">
        <w:rPr>
          <w:sz w:val="24"/>
          <w:szCs w:val="24"/>
        </w:rPr>
        <w:t xml:space="preserve">your content </w:t>
      </w:r>
      <w:r w:rsidR="00602E3B" w:rsidRPr="00A70A86">
        <w:rPr>
          <w:sz w:val="24"/>
          <w:szCs w:val="24"/>
        </w:rPr>
        <w:t>a</w:t>
      </w:r>
      <w:r w:rsidR="00533AAA" w:rsidRPr="00A70A86">
        <w:rPr>
          <w:sz w:val="24"/>
          <w:szCs w:val="24"/>
        </w:rPr>
        <w:t>ddress</w:t>
      </w:r>
      <w:r w:rsidR="00602E3B" w:rsidRPr="00A70A86">
        <w:rPr>
          <w:sz w:val="24"/>
          <w:szCs w:val="24"/>
        </w:rPr>
        <w:t>es</w:t>
      </w:r>
      <w:r w:rsidRPr="00A70A86">
        <w:rPr>
          <w:sz w:val="24"/>
          <w:szCs w:val="24"/>
        </w:rPr>
        <w:t xml:space="preserve"> the </w:t>
      </w:r>
      <w:r w:rsidR="0022117B" w:rsidRPr="00A70A86">
        <w:rPr>
          <w:sz w:val="24"/>
          <w:szCs w:val="24"/>
        </w:rPr>
        <w:t>objective</w:t>
      </w:r>
      <w:r w:rsidRPr="00A70A86">
        <w:rPr>
          <w:sz w:val="24"/>
          <w:szCs w:val="24"/>
        </w:rPr>
        <w:t xml:space="preserve"> in your </w:t>
      </w:r>
      <w:r w:rsidR="0022117B" w:rsidRPr="00A70A86">
        <w:rPr>
          <w:sz w:val="24"/>
          <w:szCs w:val="24"/>
        </w:rPr>
        <w:t>researchproject</w:t>
      </w:r>
      <w:r w:rsidR="00602E3B" w:rsidRPr="00A70A86">
        <w:rPr>
          <w:sz w:val="24"/>
          <w:szCs w:val="24"/>
        </w:rPr>
        <w:t xml:space="preserve">. </w:t>
      </w:r>
      <w:r w:rsidR="00224C0E" w:rsidRPr="00A70A86">
        <w:rPr>
          <w:sz w:val="24"/>
          <w:szCs w:val="24"/>
        </w:rPr>
        <w:t xml:space="preserve">Paragraph style writing, in third person, should be used. </w:t>
      </w:r>
    </w:p>
    <w:p w:rsidR="0022117B" w:rsidRPr="00A70A86" w:rsidRDefault="00992A6C" w:rsidP="002211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A86">
        <w:rPr>
          <w:sz w:val="24"/>
          <w:szCs w:val="24"/>
        </w:rPr>
        <w:t>Column 3: Identify the references use</w:t>
      </w:r>
      <w:r w:rsidR="00FF4380">
        <w:rPr>
          <w:sz w:val="24"/>
          <w:szCs w:val="24"/>
        </w:rPr>
        <w:t>d</w:t>
      </w:r>
      <w:r w:rsidRPr="00A70A86">
        <w:rPr>
          <w:sz w:val="24"/>
          <w:szCs w:val="24"/>
        </w:rPr>
        <w:t xml:space="preserve"> to support each learning objective.  </w:t>
      </w:r>
    </w:p>
    <w:p w:rsidR="00C718EF" w:rsidRDefault="00992A6C" w:rsidP="00C718EF">
      <w:pPr>
        <w:rPr>
          <w:sz w:val="24"/>
          <w:szCs w:val="24"/>
        </w:rPr>
      </w:pPr>
      <w:r>
        <w:rPr>
          <w:sz w:val="24"/>
          <w:szCs w:val="24"/>
        </w:rPr>
        <w:t>Student name: ______________________</w:t>
      </w:r>
    </w:p>
    <w:p w:rsidR="00C718EF" w:rsidRDefault="00992A6C" w:rsidP="00C718EF">
      <w:pPr>
        <w:rPr>
          <w:sz w:val="24"/>
          <w:szCs w:val="24"/>
        </w:rPr>
      </w:pPr>
      <w:r>
        <w:rPr>
          <w:sz w:val="24"/>
          <w:szCs w:val="24"/>
        </w:rPr>
        <w:t>Date: ______________________________</w:t>
      </w:r>
      <w:bookmarkStart w:id="1" w:name="_GoBack"/>
      <w:bookmarkEnd w:id="1"/>
    </w:p>
    <w:p w:rsidR="00C718EF" w:rsidRPr="00C718EF" w:rsidRDefault="00992A6C" w:rsidP="00C718EF">
      <w:pPr>
        <w:rPr>
          <w:sz w:val="24"/>
          <w:szCs w:val="24"/>
        </w:rPr>
      </w:pPr>
      <w:r>
        <w:rPr>
          <w:sz w:val="24"/>
          <w:szCs w:val="24"/>
        </w:rPr>
        <w:t>Topic: ____________</w:t>
      </w:r>
      <w:r w:rsidR="00562BE2" w:rsidRPr="00992A6C">
        <w:rPr>
          <w:rFonts w:ascii="Times New Roman" w:hAnsi="Times New Roman" w:cs="Times New Roman"/>
          <w:sz w:val="24"/>
          <w:szCs w:val="24"/>
        </w:rPr>
        <w:t>Integrating telehealth in healthcare</w:t>
      </w:r>
      <w:r>
        <w:rPr>
          <w:sz w:val="24"/>
          <w:szCs w:val="24"/>
        </w:rPr>
        <w:t>__________________</w:t>
      </w:r>
    </w:p>
    <w:tbl>
      <w:tblPr>
        <w:tblStyle w:val="ListTable1Light"/>
        <w:tblpPr w:leftFromText="187" w:rightFromText="187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  <w:gridCol w:w="3966"/>
        <w:gridCol w:w="6915"/>
      </w:tblGrid>
      <w:tr w:rsidR="00E35BC2" w:rsidTr="00E35BC2">
        <w:trPr>
          <w:cnfStyle w:val="100000000000"/>
        </w:trPr>
        <w:tc>
          <w:tcPr>
            <w:cnfStyle w:val="001000000000"/>
            <w:tcW w:w="4392" w:type="dxa"/>
            <w:tcBorders>
              <w:bottom w:val="none" w:sz="0" w:space="0" w:color="auto"/>
            </w:tcBorders>
          </w:tcPr>
          <w:p w:rsidR="00552F34" w:rsidRPr="008B6C13" w:rsidRDefault="00992A6C" w:rsidP="007A4E50">
            <w:pPr>
              <w:jc w:val="center"/>
              <w:rPr>
                <w:sz w:val="28"/>
                <w:szCs w:val="28"/>
              </w:rPr>
            </w:pPr>
            <w:r w:rsidRPr="008B6C13">
              <w:rPr>
                <w:sz w:val="28"/>
                <w:szCs w:val="28"/>
              </w:rPr>
              <w:t>Learning Objective</w:t>
            </w:r>
          </w:p>
        </w:tc>
        <w:tc>
          <w:tcPr>
            <w:tcW w:w="4392" w:type="dxa"/>
            <w:tcBorders>
              <w:bottom w:val="none" w:sz="0" w:space="0" w:color="auto"/>
            </w:tcBorders>
          </w:tcPr>
          <w:p w:rsidR="00552F34" w:rsidRPr="008B6C13" w:rsidRDefault="00992A6C" w:rsidP="007A4E50">
            <w:pPr>
              <w:jc w:val="center"/>
              <w:cnfStyle w:val="100000000000"/>
              <w:rPr>
                <w:sz w:val="28"/>
                <w:szCs w:val="28"/>
              </w:rPr>
            </w:pPr>
            <w:r w:rsidRPr="008B6C13">
              <w:rPr>
                <w:sz w:val="28"/>
                <w:szCs w:val="28"/>
              </w:rPr>
              <w:t>Outline</w:t>
            </w:r>
            <w:r w:rsidR="00FF4380">
              <w:rPr>
                <w:sz w:val="28"/>
                <w:szCs w:val="28"/>
              </w:rPr>
              <w:t>/Summary</w:t>
            </w:r>
          </w:p>
        </w:tc>
        <w:tc>
          <w:tcPr>
            <w:tcW w:w="4392" w:type="dxa"/>
            <w:tcBorders>
              <w:bottom w:val="none" w:sz="0" w:space="0" w:color="auto"/>
            </w:tcBorders>
          </w:tcPr>
          <w:p w:rsidR="00552F34" w:rsidRPr="008B6C13" w:rsidRDefault="00992A6C" w:rsidP="007A4E50">
            <w:pPr>
              <w:jc w:val="center"/>
              <w:cnfStyle w:val="100000000000"/>
              <w:rPr>
                <w:sz w:val="28"/>
                <w:szCs w:val="28"/>
              </w:rPr>
            </w:pPr>
            <w:r w:rsidRPr="008B6C13">
              <w:rPr>
                <w:sz w:val="28"/>
                <w:szCs w:val="28"/>
              </w:rPr>
              <w:t>Supporting References</w:t>
            </w:r>
          </w:p>
        </w:tc>
      </w:tr>
      <w:tr w:rsidR="00E35BC2" w:rsidTr="00E35BC2">
        <w:trPr>
          <w:cnfStyle w:val="000000100000"/>
        </w:trPr>
        <w:tc>
          <w:tcPr>
            <w:cnfStyle w:val="001000000000"/>
            <w:tcW w:w="4392" w:type="dxa"/>
          </w:tcPr>
          <w:p w:rsidR="00552F34" w:rsidRDefault="00552F34" w:rsidP="007A4E50"/>
        </w:tc>
        <w:tc>
          <w:tcPr>
            <w:tcW w:w="4392" w:type="dxa"/>
          </w:tcPr>
          <w:p w:rsidR="00552F34" w:rsidRDefault="00552F34" w:rsidP="007A4E50">
            <w:pPr>
              <w:cnfStyle w:val="000000100000"/>
            </w:pPr>
          </w:p>
        </w:tc>
        <w:tc>
          <w:tcPr>
            <w:tcW w:w="4392" w:type="dxa"/>
          </w:tcPr>
          <w:p w:rsidR="00552F34" w:rsidRDefault="00552F34" w:rsidP="007A4E50">
            <w:pPr>
              <w:cnfStyle w:val="000000100000"/>
            </w:pPr>
          </w:p>
        </w:tc>
      </w:tr>
      <w:tr w:rsidR="00E35BC2" w:rsidTr="00E35BC2">
        <w:tc>
          <w:tcPr>
            <w:cnfStyle w:val="001000000000"/>
            <w:tcW w:w="4392" w:type="dxa"/>
          </w:tcPr>
          <w:p w:rsidR="00552F34" w:rsidRDefault="00992A6C" w:rsidP="00165C2C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</w:pPr>
            <w:r w:rsidRPr="00602E3B">
              <w:rPr>
                <w:rStyle w:val="normaltextrun"/>
                <w:rFonts w:ascii="Calibri" w:hAnsi="Calibri"/>
                <w:b w:val="0"/>
                <w:color w:val="000000"/>
                <w:bdr w:val="none" w:sz="0" w:space="0" w:color="auto" w:frame="1"/>
              </w:rPr>
              <w:t>PO1. Articulate theories and principles of health care management</w:t>
            </w:r>
          </w:p>
          <w:p w:rsidR="00C81B52" w:rsidRPr="00602E3B" w:rsidRDefault="00C81B52" w:rsidP="00165C2C">
            <w:pPr>
              <w:shd w:val="clear" w:color="auto" w:fill="FFFFFF"/>
              <w:spacing w:before="100" w:beforeAutospacing="1" w:after="100" w:afterAutospacing="1" w:line="240" w:lineRule="auto"/>
            </w:pPr>
          </w:p>
        </w:tc>
        <w:tc>
          <w:tcPr>
            <w:tcW w:w="4392" w:type="dxa"/>
          </w:tcPr>
          <w:p w:rsidR="00012098" w:rsidRPr="00EA7692" w:rsidRDefault="00992A6C" w:rsidP="008C133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With the increasing medical costs, healthcare administrators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ensure patients have the best care. </w:t>
            </w:r>
            <w:r w:rsidR="00C81B52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Moreover, the need for more medical professionals calls for administrators to ensure employee satisfaction. </w:t>
            </w:r>
            <w:r w:rsidR="008C1336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Thus,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integration </w:t>
            </w:r>
            <w:r w:rsidR="008C1336" w:rsidRPr="00383F3E">
              <w:rPr>
                <w:rFonts w:ascii="Times New Roman" w:hAnsi="Times New Roman" w:cs="Times New Roman"/>
                <w:sz w:val="24"/>
                <w:szCs w:val="24"/>
              </w:rPr>
              <w:t>of telehealth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in care practices emphasizes human relations theory that </w:t>
            </w:r>
            <w:r w:rsidR="008C1336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focuses on the working conditions of </w:t>
            </w:r>
            <w:proofErr w:type="gramStart"/>
            <w:r w:rsidR="008C1336" w:rsidRPr="00383F3E">
              <w:rPr>
                <w:rFonts w:ascii="Times New Roman" w:hAnsi="Times New Roman" w:cs="Times New Roman"/>
                <w:sz w:val="24"/>
                <w:szCs w:val="24"/>
              </w:rPr>
              <w:t>workers</w:t>
            </w:r>
            <w:r w:rsidR="00E252C2" w:rsidRPr="00EA76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252C2" w:rsidRPr="00EA7692">
              <w:rPr>
                <w:rFonts w:ascii="Times New Roman" w:hAnsi="Times New Roman" w:cs="Times New Roman"/>
                <w:sz w:val="24"/>
                <w:szCs w:val="24"/>
              </w:rPr>
              <w:t xml:space="preserve"> Harst et al., 2019)</w:t>
            </w:r>
            <w:r w:rsidR="008C1336" w:rsidRPr="00EA7692">
              <w:rPr>
                <w:rFonts w:ascii="Times New Roman" w:hAnsi="Times New Roman" w:cs="Times New Roman"/>
                <w:sz w:val="24"/>
                <w:szCs w:val="24"/>
              </w:rPr>
              <w:t xml:space="preserve">. With telehealth, administrators will </w:t>
            </w:r>
            <w:r w:rsidR="00D67AAE" w:rsidRPr="00EA7692">
              <w:rPr>
                <w:rFonts w:ascii="Times New Roman" w:hAnsi="Times New Roman" w:cs="Times New Roman"/>
                <w:sz w:val="24"/>
                <w:szCs w:val="24"/>
              </w:rPr>
              <w:t>adhere to management principles since they will consider</w:t>
            </w:r>
            <w:r w:rsidR="008C1336" w:rsidRPr="00EA7692">
              <w:rPr>
                <w:rFonts w:ascii="Times New Roman" w:hAnsi="Times New Roman" w:cs="Times New Roman"/>
                <w:sz w:val="24"/>
                <w:szCs w:val="24"/>
              </w:rPr>
              <w:t xml:space="preserve"> the need </w:t>
            </w:r>
            <w:r w:rsidR="00D67AAE" w:rsidRPr="00EA769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8C1336" w:rsidRPr="00EA7692">
              <w:rPr>
                <w:rFonts w:ascii="Times New Roman" w:hAnsi="Times New Roman" w:cs="Times New Roman"/>
                <w:sz w:val="24"/>
                <w:szCs w:val="24"/>
              </w:rPr>
              <w:t xml:space="preserve"> effective and timely care. Moreover, </w:t>
            </w:r>
            <w:r w:rsidR="00D67AAE" w:rsidRPr="00EA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punctual</w:t>
            </w:r>
            <w:r w:rsidR="008C1336" w:rsidRPr="00EA7692">
              <w:rPr>
                <w:rFonts w:ascii="Times New Roman" w:hAnsi="Times New Roman" w:cs="Times New Roman"/>
                <w:sz w:val="24"/>
                <w:szCs w:val="24"/>
              </w:rPr>
              <w:t xml:space="preserve"> patient attendance will reduce the burden of transportation costs</w:t>
            </w:r>
            <w:r w:rsidR="00D67AAE" w:rsidRPr="00EA7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336" w:rsidRPr="00EA7692">
              <w:rPr>
                <w:rFonts w:ascii="Times New Roman" w:hAnsi="Times New Roman" w:cs="Times New Roman"/>
                <w:sz w:val="24"/>
                <w:szCs w:val="24"/>
              </w:rPr>
              <w:t xml:space="preserve"> and professionals will have ease attending to patients</w:t>
            </w:r>
            <w:r w:rsidR="009E0836" w:rsidRPr="00E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36" w:rsidRPr="00383F3E" w:rsidRDefault="00992A6C" w:rsidP="00D67AA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92">
              <w:rPr>
                <w:rFonts w:ascii="Times New Roman" w:hAnsi="Times New Roman" w:cs="Times New Roman"/>
                <w:sz w:val="24"/>
                <w:szCs w:val="24"/>
              </w:rPr>
              <w:t xml:space="preserve">Lastly, </w:t>
            </w:r>
            <w:r w:rsidR="00D67AAE" w:rsidRPr="00EA7692">
              <w:rPr>
                <w:rFonts w:ascii="Times New Roman" w:hAnsi="Times New Roman" w:cs="Times New Roman"/>
                <w:sz w:val="24"/>
                <w:szCs w:val="24"/>
              </w:rPr>
              <w:t>healthcare administrator must lead their employees with an innovativ</w:t>
            </w:r>
            <w:r w:rsidRPr="00EA7692">
              <w:rPr>
                <w:rFonts w:ascii="Times New Roman" w:hAnsi="Times New Roman" w:cs="Times New Roman"/>
                <w:sz w:val="24"/>
                <w:szCs w:val="24"/>
              </w:rPr>
              <w:t xml:space="preserve">e mind that considers the future of </w:t>
            </w:r>
            <w:proofErr w:type="gramStart"/>
            <w:r w:rsidRPr="00EA7692">
              <w:rPr>
                <w:rFonts w:ascii="Times New Roman" w:hAnsi="Times New Roman" w:cs="Times New Roman"/>
                <w:sz w:val="24"/>
                <w:szCs w:val="24"/>
              </w:rPr>
              <w:t>healthcare</w:t>
            </w:r>
            <w:r w:rsidR="00184125" w:rsidRPr="00EA76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84125" w:rsidRPr="00EA7692">
              <w:rPr>
                <w:rFonts w:ascii="Times New Roman" w:hAnsi="Times New Roman" w:cs="Times New Roman"/>
                <w:sz w:val="24"/>
                <w:szCs w:val="24"/>
              </w:rPr>
              <w:t xml:space="preserve"> Kozioł-Nadolna, 2020)</w:t>
            </w:r>
            <w:r w:rsidRPr="00EA7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DBF" w:rsidRPr="00EA7692">
              <w:rPr>
                <w:rFonts w:ascii="Times New Roman" w:hAnsi="Times New Roman" w:cs="Times New Roman"/>
                <w:sz w:val="24"/>
                <w:szCs w:val="24"/>
              </w:rPr>
              <w:t>Thus, through</w:t>
            </w:r>
            <w:r w:rsidR="00222DBF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telehealth, leaders will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r w:rsidR="00222DBF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care with the changing healthcare technology. </w:t>
            </w:r>
          </w:p>
        </w:tc>
        <w:tc>
          <w:tcPr>
            <w:tcW w:w="4392" w:type="dxa"/>
          </w:tcPr>
          <w:p w:rsidR="00C037EB" w:rsidRPr="00C037EB" w:rsidRDefault="00C037EB" w:rsidP="00C037EB">
            <w:pPr>
              <w:spacing w:after="40" w:line="240" w:lineRule="auto"/>
              <w:ind w:left="720" w:hanging="720"/>
              <w:contextualSpacing/>
              <w:cnfStyle w:val="000000000000"/>
              <w:rPr>
                <w:rFonts w:ascii="Times New Roman" w:eastAsia="Calibri" w:hAnsi="Times New Roman" w:cs="Times New Roman"/>
                <w:sz w:val="24"/>
              </w:rPr>
            </w:pPr>
            <w:r w:rsidRPr="00C037E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Harst, L., </w:t>
            </w:r>
            <w:proofErr w:type="spellStart"/>
            <w:r w:rsidRPr="00C037EB">
              <w:rPr>
                <w:rFonts w:ascii="Times New Roman" w:eastAsia="Calibri" w:hAnsi="Times New Roman" w:cs="Times New Roman"/>
                <w:sz w:val="24"/>
              </w:rPr>
              <w:t>Lantzsch</w:t>
            </w:r>
            <w:proofErr w:type="spellEnd"/>
            <w:r w:rsidRPr="00C037EB">
              <w:rPr>
                <w:rFonts w:ascii="Times New Roman" w:eastAsia="Calibri" w:hAnsi="Times New Roman" w:cs="Times New Roman"/>
                <w:sz w:val="24"/>
              </w:rPr>
              <w:t>, H., &amp;</w:t>
            </w:r>
            <w:proofErr w:type="spellStart"/>
            <w:r w:rsidRPr="00C037EB">
              <w:rPr>
                <w:rFonts w:ascii="Times New Roman" w:eastAsia="Calibri" w:hAnsi="Times New Roman" w:cs="Times New Roman"/>
                <w:sz w:val="24"/>
              </w:rPr>
              <w:t>Scheibe</w:t>
            </w:r>
            <w:proofErr w:type="spellEnd"/>
            <w:r w:rsidRPr="00C037EB">
              <w:rPr>
                <w:rFonts w:ascii="Times New Roman" w:eastAsia="Calibri" w:hAnsi="Times New Roman" w:cs="Times New Roman"/>
                <w:sz w:val="24"/>
              </w:rPr>
              <w:t>, M. (2019). Theories predicting end-user acceptance of telemedicine use: systematic review. </w:t>
            </w:r>
            <w:r w:rsidRPr="00C037EB">
              <w:rPr>
                <w:rFonts w:ascii="Times New Roman" w:eastAsia="Calibri" w:hAnsi="Times New Roman" w:cs="Times New Roman"/>
                <w:i/>
                <w:iCs/>
                <w:sz w:val="24"/>
              </w:rPr>
              <w:t>Journal of medical Internet research</w:t>
            </w:r>
            <w:r w:rsidRPr="00C037EB">
              <w:rPr>
                <w:rFonts w:ascii="Times New Roman" w:eastAsia="Calibri" w:hAnsi="Times New Roman" w:cs="Times New Roman"/>
                <w:sz w:val="24"/>
              </w:rPr>
              <w:t>, </w:t>
            </w:r>
            <w:r w:rsidRPr="00C037EB">
              <w:rPr>
                <w:rFonts w:ascii="Times New Roman" w:eastAsia="Calibri" w:hAnsi="Times New Roman" w:cs="Times New Roman"/>
                <w:i/>
                <w:iCs/>
                <w:sz w:val="24"/>
              </w:rPr>
              <w:t>21</w:t>
            </w:r>
            <w:r w:rsidRPr="00C037EB">
              <w:rPr>
                <w:rFonts w:ascii="Times New Roman" w:eastAsia="Calibri" w:hAnsi="Times New Roman" w:cs="Times New Roman"/>
                <w:sz w:val="24"/>
              </w:rPr>
              <w:t xml:space="preserve">(5), e13117. </w:t>
            </w:r>
            <w:hyperlink r:id="rId5" w:history="1">
              <w:r w:rsidRPr="00C037EB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https://www.ncbi.nlm.nih.gov/pmc/articles/PMC6547771/</w:t>
              </w:r>
            </w:hyperlink>
          </w:p>
          <w:p w:rsidR="00C037EB" w:rsidRPr="00C037EB" w:rsidRDefault="00C037EB" w:rsidP="00C037EB">
            <w:pPr>
              <w:spacing w:line="240" w:lineRule="auto"/>
              <w:ind w:left="720" w:hanging="720"/>
              <w:contextualSpacing/>
              <w:cnfStyle w:val="000000000000"/>
              <w:rPr>
                <w:rFonts w:ascii="Times New Roman" w:eastAsia="Calibri" w:hAnsi="Times New Roman" w:cs="Times New Roman"/>
                <w:sz w:val="24"/>
              </w:rPr>
            </w:pPr>
            <w:r w:rsidRPr="00C037EB">
              <w:rPr>
                <w:rFonts w:ascii="Times New Roman" w:eastAsia="Calibri" w:hAnsi="Times New Roman" w:cs="Times New Roman"/>
                <w:sz w:val="24"/>
              </w:rPr>
              <w:t>Kozioł-Nadolna, K. (2020). The role of a leader in stimulating innovation in an organization. </w:t>
            </w:r>
            <w:r w:rsidRPr="00C037EB">
              <w:rPr>
                <w:rFonts w:ascii="Times New Roman" w:eastAsia="Calibri" w:hAnsi="Times New Roman" w:cs="Times New Roman"/>
                <w:i/>
                <w:iCs/>
                <w:sz w:val="24"/>
              </w:rPr>
              <w:t>Administrative Sciences</w:t>
            </w:r>
            <w:r w:rsidRPr="00C037EB">
              <w:rPr>
                <w:rFonts w:ascii="Times New Roman" w:eastAsia="Calibri" w:hAnsi="Times New Roman" w:cs="Times New Roman"/>
                <w:sz w:val="24"/>
              </w:rPr>
              <w:t>, </w:t>
            </w:r>
            <w:r w:rsidRPr="00C037EB">
              <w:rPr>
                <w:rFonts w:ascii="Times New Roman" w:eastAsia="Calibri" w:hAnsi="Times New Roman" w:cs="Times New Roman"/>
                <w:i/>
                <w:iCs/>
                <w:sz w:val="24"/>
              </w:rPr>
              <w:t>10</w:t>
            </w:r>
            <w:r w:rsidRPr="00C037EB">
              <w:rPr>
                <w:rFonts w:ascii="Times New Roman" w:eastAsia="Calibri" w:hAnsi="Times New Roman" w:cs="Times New Roman"/>
                <w:sz w:val="24"/>
              </w:rPr>
              <w:t xml:space="preserve">(3), 59. </w:t>
            </w:r>
            <w:hyperlink r:id="rId6" w:history="1">
              <w:r w:rsidRPr="00C037EB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https://www.mdpi.com/2076-3387/10/3/59</w:t>
              </w:r>
            </w:hyperlink>
          </w:p>
          <w:p w:rsidR="00552F34" w:rsidRDefault="00552F34" w:rsidP="00C037EB">
            <w:pPr>
              <w:cnfStyle w:val="000000000000"/>
            </w:pPr>
          </w:p>
        </w:tc>
      </w:tr>
      <w:tr w:rsidR="00E35BC2" w:rsidTr="00E35BC2">
        <w:trPr>
          <w:cnfStyle w:val="000000100000"/>
        </w:trPr>
        <w:tc>
          <w:tcPr>
            <w:cnfStyle w:val="001000000000"/>
            <w:tcW w:w="4392" w:type="dxa"/>
          </w:tcPr>
          <w:p w:rsidR="00552F34" w:rsidRPr="00602E3B" w:rsidRDefault="00552F34" w:rsidP="007A4E50"/>
        </w:tc>
        <w:tc>
          <w:tcPr>
            <w:tcW w:w="4392" w:type="dxa"/>
          </w:tcPr>
          <w:p w:rsidR="00552F34" w:rsidRPr="00383F3E" w:rsidRDefault="00552F34" w:rsidP="007A4E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552F34" w:rsidRDefault="00552F34" w:rsidP="007A4E50">
            <w:pPr>
              <w:cnfStyle w:val="000000100000"/>
            </w:pPr>
          </w:p>
        </w:tc>
      </w:tr>
      <w:tr w:rsidR="00E35BC2" w:rsidTr="00E35BC2">
        <w:tc>
          <w:tcPr>
            <w:cnfStyle w:val="001000000000"/>
            <w:tcW w:w="4392" w:type="dxa"/>
          </w:tcPr>
          <w:p w:rsidR="00552F34" w:rsidRPr="00602E3B" w:rsidRDefault="00992A6C" w:rsidP="00165C2C">
            <w:pPr>
              <w:shd w:val="clear" w:color="auto" w:fill="FFFFFF"/>
              <w:spacing w:before="100" w:beforeAutospacing="1" w:after="100" w:afterAutospacing="1" w:line="240" w:lineRule="auto"/>
            </w:pPr>
            <w:r w:rsidRPr="00602E3B">
              <w:rPr>
                <w:rStyle w:val="normaltextrun"/>
                <w:rFonts w:ascii="Calibri" w:hAnsi="Calibri"/>
                <w:b w:val="0"/>
                <w:color w:val="000000"/>
                <w:shd w:val="clear" w:color="auto" w:fill="FFFFFF"/>
              </w:rPr>
              <w:t>PO2. Articulate management principles to functional areas of health care.</w:t>
            </w:r>
            <w:r w:rsidRPr="00602E3B">
              <w:rPr>
                <w:rStyle w:val="eop"/>
                <w:rFonts w:ascii="Calibri" w:hAnsi="Calibri"/>
                <w:b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2" w:type="dxa"/>
          </w:tcPr>
          <w:p w:rsidR="00552F34" w:rsidRPr="00383F3E" w:rsidRDefault="00992A6C" w:rsidP="007A4E5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Integrating telehealth in practice implies that leaders are considering their management principles. </w:t>
            </w:r>
            <w:r w:rsidR="00FD478F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="00FD478F" w:rsidRPr="00FD47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Alanazi</w:t>
            </w:r>
            <w:proofErr w:type="spellEnd"/>
            <w:r w:rsidR="00FD478F" w:rsidRPr="00FD478F">
              <w:rPr>
                <w:rFonts w:ascii="Times New Roman" w:hAnsi="Times New Roman" w:cs="Times New Roman"/>
                <w:sz w:val="24"/>
                <w:szCs w:val="24"/>
              </w:rPr>
              <w:t xml:space="preserve"> (2022) </w:t>
            </w:r>
            <w:r w:rsidR="00FD478F">
              <w:rPr>
                <w:rFonts w:ascii="Times New Roman" w:hAnsi="Times New Roman" w:cs="Times New Roman"/>
                <w:sz w:val="24"/>
                <w:szCs w:val="24"/>
              </w:rPr>
              <w:t>explain, it is t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he leader's role is</w:t>
            </w:r>
            <w:r w:rsidR="00DB1294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to use the changing technology to ensure the well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294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being of all patients. Through telehealth,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care access to all populations is equal</w:t>
            </w:r>
            <w:r w:rsidR="00DB1294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regardless of residence. </w:t>
            </w:r>
          </w:p>
          <w:p w:rsidR="00DB1294" w:rsidRPr="00383F3E" w:rsidRDefault="00992A6C" w:rsidP="00AA096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Telehealth ensures that medical facilities consider the needs of underserved people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like those who live in rural areas where care services are </w:t>
            </w:r>
            <w:proofErr w:type="gramStart"/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  <w:r w:rsidR="00AA0964" w:rsidRPr="00AA0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A0964" w:rsidRPr="00AA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964" w:rsidRPr="00AA0964">
              <w:rPr>
                <w:rFonts w:ascii="Times New Roman" w:hAnsi="Times New Roman" w:cs="Times New Roman"/>
                <w:sz w:val="24"/>
                <w:szCs w:val="24"/>
              </w:rPr>
              <w:t>Gajarawala&amp;Pelkowski</w:t>
            </w:r>
            <w:proofErr w:type="spellEnd"/>
            <w:r w:rsidR="00AA0964" w:rsidRPr="00AA0964">
              <w:rPr>
                <w:rFonts w:ascii="Times New Roman" w:hAnsi="Times New Roman" w:cs="Times New Roman"/>
                <w:sz w:val="24"/>
                <w:szCs w:val="24"/>
              </w:rPr>
              <w:t>, 2021)</w:t>
            </w:r>
            <w:r w:rsidRPr="00AA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45E" w:rsidRPr="00383F3E">
              <w:rPr>
                <w:rFonts w:ascii="Times New Roman" w:hAnsi="Times New Roman" w:cs="Times New Roman"/>
                <w:sz w:val="24"/>
                <w:szCs w:val="24"/>
              </w:rPr>
              <w:t>Lastly, professionals should use the available resources to cut unnecessary costs. Thus, integrati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DD545E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technology in care means that leaders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DD545E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the available technology to ensure </w:t>
            </w:r>
            <w:r w:rsidR="00DD545E" w:rsidRPr="0038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ease of care provision. </w:t>
            </w:r>
          </w:p>
        </w:tc>
        <w:tc>
          <w:tcPr>
            <w:tcW w:w="4392" w:type="dxa"/>
          </w:tcPr>
          <w:p w:rsidR="00CB0C42" w:rsidRPr="00CB0C42" w:rsidRDefault="00CB0C42" w:rsidP="00CB0C42">
            <w:pPr>
              <w:spacing w:line="240" w:lineRule="auto"/>
              <w:ind w:left="720" w:hanging="720"/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Alanazi</w:t>
            </w:r>
            <w:proofErr w:type="spellEnd"/>
            <w:r w:rsidRPr="00CB0C42">
              <w:rPr>
                <w:rFonts w:ascii="Times New Roman" w:hAnsi="Times New Roman" w:cs="Times New Roman"/>
                <w:sz w:val="24"/>
                <w:szCs w:val="24"/>
              </w:rPr>
              <w:t>, A. T. (2022). Digital Leadership: Attributes of Modern Healthcare Leaders. </w:t>
            </w:r>
            <w:proofErr w:type="spellStart"/>
            <w:r w:rsidRPr="00CB0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Cureus</w:t>
            </w:r>
            <w:proofErr w:type="spellEnd"/>
            <w:r w:rsidRPr="00CB0C4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CB0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Pr="00CB0C42">
              <w:rPr>
                <w:rFonts w:ascii="Times New Roman" w:hAnsi="Times New Roman" w:cs="Times New Roman"/>
                <w:sz w:val="24"/>
                <w:szCs w:val="24"/>
              </w:rPr>
              <w:t xml:space="preserve">(2). </w:t>
            </w:r>
            <w:hyperlink r:id="rId7" w:history="1">
              <w:r w:rsidRPr="00CB0C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https://www.ncbi.nlm.nih.gov/pmc/articles/PMC8906562/</w:t>
              </w:r>
            </w:hyperlink>
          </w:p>
          <w:p w:rsidR="00CB0C42" w:rsidRPr="00CB0C42" w:rsidRDefault="00CB0C42" w:rsidP="00CB0C42">
            <w:pPr>
              <w:spacing w:line="240" w:lineRule="auto"/>
              <w:ind w:left="720" w:hanging="720"/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C42">
              <w:rPr>
                <w:rFonts w:ascii="Times New Roman" w:hAnsi="Times New Roman" w:cs="Times New Roman"/>
                <w:sz w:val="24"/>
                <w:szCs w:val="24"/>
              </w:rPr>
              <w:t>Gajarawala</w:t>
            </w:r>
            <w:proofErr w:type="spellEnd"/>
            <w:r w:rsidRPr="00CB0C42">
              <w:rPr>
                <w:rFonts w:ascii="Times New Roman" w:hAnsi="Times New Roman" w:cs="Times New Roman"/>
                <w:sz w:val="24"/>
                <w:szCs w:val="24"/>
              </w:rPr>
              <w:t>, S. N., &amp;</w:t>
            </w:r>
            <w:proofErr w:type="spellStart"/>
            <w:r w:rsidRPr="00CB0C42">
              <w:rPr>
                <w:rFonts w:ascii="Times New Roman" w:hAnsi="Times New Roman" w:cs="Times New Roman"/>
                <w:sz w:val="24"/>
                <w:szCs w:val="24"/>
              </w:rPr>
              <w:t>Pelkowski</w:t>
            </w:r>
            <w:proofErr w:type="spellEnd"/>
            <w:r w:rsidRPr="00CB0C42">
              <w:rPr>
                <w:rFonts w:ascii="Times New Roman" w:hAnsi="Times New Roman" w:cs="Times New Roman"/>
                <w:sz w:val="24"/>
                <w:szCs w:val="24"/>
              </w:rPr>
              <w:t>, J. N. (2021). Telehealth benefits and barriers. </w:t>
            </w:r>
            <w:r w:rsidRPr="00CB0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Journal for Nurse Practitioners</w:t>
            </w:r>
            <w:r w:rsidRPr="00CB0C4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CB0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Pr="00CB0C42">
              <w:rPr>
                <w:rFonts w:ascii="Times New Roman" w:hAnsi="Times New Roman" w:cs="Times New Roman"/>
                <w:sz w:val="24"/>
                <w:szCs w:val="24"/>
              </w:rPr>
              <w:t xml:space="preserve">(2), 218-221. </w:t>
            </w:r>
            <w:hyperlink r:id="rId8" w:history="1">
              <w:r w:rsidRPr="00CB0C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https://www.ncbi.nlm.nih.gov/pmc/articles/PMC7577680/</w:t>
              </w:r>
            </w:hyperlink>
          </w:p>
          <w:p w:rsidR="00552F34" w:rsidRDefault="00552F34" w:rsidP="007A4E50">
            <w:pPr>
              <w:cnfStyle w:val="000000000000"/>
            </w:pPr>
          </w:p>
        </w:tc>
      </w:tr>
      <w:tr w:rsidR="00E35BC2" w:rsidTr="00E35BC2">
        <w:trPr>
          <w:cnfStyle w:val="000000100000"/>
        </w:trPr>
        <w:tc>
          <w:tcPr>
            <w:cnfStyle w:val="001000000000"/>
            <w:tcW w:w="4392" w:type="dxa"/>
          </w:tcPr>
          <w:p w:rsidR="00552F34" w:rsidRPr="00602E3B" w:rsidRDefault="00552F34" w:rsidP="007A4E50"/>
        </w:tc>
        <w:tc>
          <w:tcPr>
            <w:tcW w:w="4392" w:type="dxa"/>
          </w:tcPr>
          <w:p w:rsidR="00552F34" w:rsidRPr="00383F3E" w:rsidRDefault="00552F34" w:rsidP="007A4E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552F34" w:rsidRDefault="00552F34" w:rsidP="007A4E50">
            <w:pPr>
              <w:cnfStyle w:val="000000100000"/>
            </w:pPr>
          </w:p>
        </w:tc>
      </w:tr>
      <w:tr w:rsidR="00E35BC2" w:rsidTr="00E35BC2">
        <w:tc>
          <w:tcPr>
            <w:cnfStyle w:val="001000000000"/>
            <w:tcW w:w="4392" w:type="dxa"/>
          </w:tcPr>
          <w:p w:rsidR="00552F34" w:rsidRPr="00602E3B" w:rsidRDefault="00992A6C" w:rsidP="00165C2C">
            <w:pPr>
              <w:shd w:val="clear" w:color="auto" w:fill="FFFFFF"/>
              <w:spacing w:before="100" w:beforeAutospacing="1" w:after="100" w:afterAutospacing="1" w:line="240" w:lineRule="auto"/>
            </w:pPr>
            <w:r w:rsidRPr="00602E3B">
              <w:rPr>
                <w:rStyle w:val="normaltextrun"/>
                <w:rFonts w:ascii="Calibri" w:hAnsi="Calibri"/>
                <w:b w:val="0"/>
                <w:color w:val="000000"/>
                <w:shd w:val="clear" w:color="auto" w:fill="FFFFFF"/>
              </w:rPr>
              <w:t>PO3. Identify determinants and measurements of health and disease in epidemiology, public health, promotion of health, and disease prevention.</w:t>
            </w:r>
            <w:r w:rsidRPr="00602E3B">
              <w:rPr>
                <w:rStyle w:val="eop"/>
                <w:rFonts w:ascii="Calibri" w:hAnsi="Calibri"/>
                <w:b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2" w:type="dxa"/>
          </w:tcPr>
          <w:p w:rsidR="002168A0" w:rsidRPr="00383F3E" w:rsidRDefault="00884620" w:rsidP="002168A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Coombs</w:t>
            </w:r>
            <w:r w:rsidRPr="00884620">
              <w:rPr>
                <w:rFonts w:ascii="Times New Roman" w:hAnsi="Times New Roman" w:cs="Times New Roman"/>
                <w:sz w:val="24"/>
                <w:szCs w:val="24"/>
              </w:rPr>
              <w:t xml:space="preserve">  et</w:t>
            </w:r>
            <w:proofErr w:type="gramEnd"/>
            <w:r w:rsidRPr="00884620"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(2022) states that t</w:t>
            </w:r>
            <w:r w:rsidR="00992A6C" w:rsidRPr="00383F3E">
              <w:rPr>
                <w:rFonts w:ascii="Times New Roman" w:hAnsi="Times New Roman" w:cs="Times New Roman"/>
                <w:sz w:val="24"/>
                <w:szCs w:val="24"/>
              </w:rPr>
              <w:t>he inability of people living in rural areas to access timely care reduces their knowledge o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92A6C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disease prevention. Also, limited access and resources to understand different demographics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lessen</w:t>
            </w:r>
            <w:r w:rsidR="00992A6C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the chance of medical professionals to understand major determinants of health and device health promotion strategies. </w:t>
            </w:r>
          </w:p>
          <w:p w:rsidR="00552F34" w:rsidRPr="00383F3E" w:rsidRDefault="00992A6C" w:rsidP="00D67AA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However, telehealth has proven the effectiveness of underserved communities to access care </w:t>
            </w:r>
            <w:proofErr w:type="gramStart"/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remotely</w:t>
            </w:r>
            <w:r w:rsidR="00F77FBB" w:rsidRPr="00F77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7FBB" w:rsidRPr="00F77FBB">
              <w:rPr>
                <w:rFonts w:ascii="Times New Roman" w:hAnsi="Times New Roman" w:cs="Times New Roman"/>
                <w:sz w:val="24"/>
                <w:szCs w:val="24"/>
              </w:rPr>
              <w:t xml:space="preserve"> Franciosi et al., 2021)</w:t>
            </w:r>
            <w:r w:rsidRPr="00F77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Also, during pandemics like Covid-19 that led to reduced physical interactions, it was easy to evaluate the disease, educate the public on pre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ventive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s, and virtually enhance people's well-being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2" w:type="dxa"/>
          </w:tcPr>
          <w:p w:rsidR="00552F34" w:rsidRPr="00F725DC" w:rsidRDefault="00F725DC" w:rsidP="00F725DC">
            <w:pPr>
              <w:spacing w:line="240" w:lineRule="auto"/>
              <w:ind w:left="720" w:hanging="720"/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5DC">
              <w:rPr>
                <w:rFonts w:ascii="Times New Roman" w:hAnsi="Times New Roman" w:cs="Times New Roman"/>
                <w:sz w:val="24"/>
                <w:szCs w:val="24"/>
              </w:rPr>
              <w:t>Coombs, N. C., Campbell, D. G., &amp;</w:t>
            </w:r>
            <w:proofErr w:type="spellStart"/>
            <w:r w:rsidRPr="00F725DC">
              <w:rPr>
                <w:rFonts w:ascii="Times New Roman" w:hAnsi="Times New Roman" w:cs="Times New Roman"/>
                <w:sz w:val="24"/>
                <w:szCs w:val="24"/>
              </w:rPr>
              <w:t>Caringi</w:t>
            </w:r>
            <w:proofErr w:type="spellEnd"/>
            <w:r w:rsidRPr="00F725DC">
              <w:rPr>
                <w:rFonts w:ascii="Times New Roman" w:hAnsi="Times New Roman" w:cs="Times New Roman"/>
                <w:sz w:val="24"/>
                <w:szCs w:val="24"/>
              </w:rPr>
              <w:t>, J. (2022). A qualitative study of rural healthcare providers’ views of social, cultural, and programmatic barriers to healthcare access. </w:t>
            </w:r>
            <w:r w:rsidRPr="00F72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BMC Health Services Research</w:t>
            </w:r>
            <w:r w:rsidRPr="00F725D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72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Pr="00F725DC">
              <w:rPr>
                <w:rFonts w:ascii="Times New Roman" w:hAnsi="Times New Roman" w:cs="Times New Roman"/>
                <w:sz w:val="24"/>
                <w:szCs w:val="24"/>
              </w:rPr>
              <w:t xml:space="preserve">(1), 1-16. </w:t>
            </w:r>
            <w:hyperlink r:id="rId9" w:history="1">
              <w:r w:rsidRPr="00F725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https://bmchealthservres.biomedcentral.com/articles/10.1186/s12913-022-07829-2</w:t>
              </w:r>
            </w:hyperlink>
          </w:p>
          <w:p w:rsidR="00F725DC" w:rsidRPr="00F725DC" w:rsidRDefault="00F725DC" w:rsidP="00F725DC">
            <w:pPr>
              <w:spacing w:after="40" w:line="240" w:lineRule="auto"/>
              <w:ind w:left="720" w:hanging="720"/>
              <w:contextualSpacing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Franciosi, E. B., Tan, A. J., </w:t>
            </w:r>
            <w:proofErr w:type="spellStart"/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Kassamali</w:t>
            </w:r>
            <w:proofErr w:type="spellEnd"/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, B., Leonard, N., Zhou, G., Krueger, S</w:t>
            </w:r>
            <w:proofErr w:type="gramStart"/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., ...&amp;</w:t>
            </w:r>
            <w:proofErr w:type="spellStart"/>
            <w:proofErr w:type="gramEnd"/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LaChance</w:t>
            </w:r>
            <w:proofErr w:type="spellEnd"/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, A. (2021). The impact of telehealth implementation on underserved populations and no-show rates by medical specialty during the COVID-19 pandemic. </w:t>
            </w:r>
            <w:r w:rsidRPr="00F725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Telemedicine and e-Health</w:t>
            </w:r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F725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27</w:t>
            </w:r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(8), 874-880. </w:t>
            </w:r>
            <w:hyperlink r:id="rId10" w:history="1">
              <w:r w:rsidRPr="00F725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https://www.ncbi.nlm.nih.gov/pmc/articles/PMC8420945/</w:t>
              </w:r>
            </w:hyperlink>
          </w:p>
          <w:p w:rsidR="00F725DC" w:rsidRDefault="00F725DC" w:rsidP="007A4E50">
            <w:pPr>
              <w:cnfStyle w:val="000000000000"/>
            </w:pPr>
          </w:p>
        </w:tc>
      </w:tr>
      <w:tr w:rsidR="00E35BC2" w:rsidTr="00E35BC2">
        <w:trPr>
          <w:cnfStyle w:val="000000100000"/>
        </w:trPr>
        <w:tc>
          <w:tcPr>
            <w:cnfStyle w:val="001000000000"/>
            <w:tcW w:w="4392" w:type="dxa"/>
          </w:tcPr>
          <w:p w:rsidR="00552F34" w:rsidRPr="00602E3B" w:rsidRDefault="00552F34" w:rsidP="007A4E50"/>
        </w:tc>
        <w:tc>
          <w:tcPr>
            <w:tcW w:w="4392" w:type="dxa"/>
          </w:tcPr>
          <w:p w:rsidR="00552F34" w:rsidRPr="00383F3E" w:rsidRDefault="00552F34" w:rsidP="007A4E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552F34" w:rsidRDefault="00552F34" w:rsidP="007A4E50">
            <w:pPr>
              <w:cnfStyle w:val="000000100000"/>
            </w:pPr>
          </w:p>
        </w:tc>
      </w:tr>
      <w:tr w:rsidR="00E35BC2" w:rsidTr="00E35BC2">
        <w:tc>
          <w:tcPr>
            <w:cnfStyle w:val="001000000000"/>
            <w:tcW w:w="4392" w:type="dxa"/>
          </w:tcPr>
          <w:p w:rsidR="00552F34" w:rsidRPr="00602E3B" w:rsidRDefault="00992A6C" w:rsidP="00165C2C">
            <w:pPr>
              <w:spacing w:after="0" w:line="240" w:lineRule="auto"/>
              <w:rPr>
                <w:rFonts w:eastAsiaTheme="majorEastAsia" w:cstheme="majorBidi"/>
              </w:rPr>
            </w:pPr>
            <w:r w:rsidRPr="00602E3B">
              <w:rPr>
                <w:rStyle w:val="normaltextrun"/>
                <w:rFonts w:ascii="Calibri" w:hAnsi="Calibri"/>
                <w:b w:val="0"/>
                <w:color w:val="000000"/>
                <w:shd w:val="clear" w:color="auto" w:fill="FFFFFF"/>
              </w:rPr>
              <w:t>PO4. Identify unique characteristics of law and ethics in health services.</w:t>
            </w:r>
            <w:r w:rsidRPr="00602E3B">
              <w:rPr>
                <w:rStyle w:val="eop"/>
                <w:rFonts w:ascii="Calibri" w:hAnsi="Calibri"/>
                <w:b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2" w:type="dxa"/>
          </w:tcPr>
          <w:p w:rsidR="00552F34" w:rsidRPr="00383F3E" w:rsidRDefault="00992A6C" w:rsidP="007A4E5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Medical professionals have to integrate legal and ethical aspects in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care services. Among the major ethical considerations include </w:t>
            </w:r>
            <w:proofErr w:type="gramStart"/>
            <w:r w:rsidRPr="00660574">
              <w:rPr>
                <w:rFonts w:ascii="Times New Roman" w:hAnsi="Times New Roman" w:cs="Times New Roman"/>
                <w:sz w:val="24"/>
                <w:szCs w:val="24"/>
              </w:rPr>
              <w:t>justice</w:t>
            </w:r>
            <w:r w:rsidR="00660574" w:rsidRPr="006605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60574" w:rsidRPr="00660574">
              <w:rPr>
                <w:rFonts w:ascii="Times New Roman" w:hAnsi="Times New Roman" w:cs="Times New Roman"/>
                <w:sz w:val="24"/>
                <w:szCs w:val="24"/>
              </w:rPr>
              <w:t xml:space="preserve"> Varkey, 2021)</w:t>
            </w:r>
            <w:r w:rsidRPr="00660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Justice entails promoting fair and equal care to all people in different communities. </w:t>
            </w:r>
          </w:p>
          <w:p w:rsidR="006E35BE" w:rsidRPr="00383F3E" w:rsidRDefault="00992A6C" w:rsidP="00D67AA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Through telehealth, medical facilities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provide care to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everyone regardless of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r w:rsidR="00231D4E" w:rsidRPr="00F77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31D4E" w:rsidRPr="00F77FBB">
              <w:rPr>
                <w:rFonts w:ascii="Times New Roman" w:hAnsi="Times New Roman" w:cs="Times New Roman"/>
                <w:sz w:val="24"/>
                <w:szCs w:val="24"/>
              </w:rPr>
              <w:t xml:space="preserve"> Franciosi et al., 2021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. Everybody equally gets medical assistance without the issue of distance or extra transport costs. Moreover, through telehealth, </w:t>
            </w:r>
            <w:r w:rsidR="00E81355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medical professionals abide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E81355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their legal goals of providing care without ethnic discrimination. Everybody accesses care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355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and nobody is neglected due to their location or ethnicity. </w:t>
            </w:r>
          </w:p>
        </w:tc>
        <w:tc>
          <w:tcPr>
            <w:tcW w:w="4392" w:type="dxa"/>
          </w:tcPr>
          <w:p w:rsidR="008B7108" w:rsidRPr="00F725DC" w:rsidRDefault="008B7108" w:rsidP="008B7108">
            <w:pPr>
              <w:spacing w:after="40" w:line="240" w:lineRule="auto"/>
              <w:ind w:left="720" w:hanging="720"/>
              <w:contextualSpacing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Franciosi, E. B., Tan, A. J., </w:t>
            </w:r>
            <w:proofErr w:type="spellStart"/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Kassamali</w:t>
            </w:r>
            <w:proofErr w:type="spellEnd"/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, B., Leonard, N., Zhou, G., Krueger, S</w:t>
            </w:r>
            <w:proofErr w:type="gramStart"/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., ...&amp;</w:t>
            </w:r>
            <w:proofErr w:type="spellStart"/>
            <w:proofErr w:type="gramEnd"/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LaChance</w:t>
            </w:r>
            <w:proofErr w:type="spellEnd"/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, A. (2021). The impact of telehealth implementation on underserved populations and no-show rates by medical specialty during the COVID-19 pandemic. </w:t>
            </w:r>
            <w:r w:rsidRPr="00F725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Telemedicine and e-Health</w:t>
            </w:r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F725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27</w:t>
            </w:r>
            <w:r w:rsidRPr="00F7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(8), 874-880. </w:t>
            </w:r>
            <w:hyperlink r:id="rId11" w:history="1">
              <w:r w:rsidRPr="00F725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https://www.ncbi.nlm.nih.gov/pmc/articles/PMC8420945/</w:t>
              </w:r>
            </w:hyperlink>
          </w:p>
          <w:p w:rsidR="008B7108" w:rsidRPr="008B7108" w:rsidRDefault="008B7108" w:rsidP="008B7108">
            <w:pPr>
              <w:spacing w:line="240" w:lineRule="auto"/>
              <w:ind w:left="720" w:hanging="720"/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8">
              <w:rPr>
                <w:rFonts w:ascii="Times New Roman" w:hAnsi="Times New Roman" w:cs="Times New Roman"/>
                <w:sz w:val="24"/>
                <w:szCs w:val="24"/>
              </w:rPr>
              <w:t>Varkey, B. (2021). Principles of clinical ethics and their application to practice. </w:t>
            </w:r>
            <w:r w:rsidRPr="008B7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Medical Principles and Practice</w:t>
            </w:r>
            <w:r w:rsidRPr="008B710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8B7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Pr="008B7108">
              <w:rPr>
                <w:rFonts w:ascii="Times New Roman" w:hAnsi="Times New Roman" w:cs="Times New Roman"/>
                <w:sz w:val="24"/>
                <w:szCs w:val="24"/>
              </w:rPr>
              <w:t xml:space="preserve">(1), 17-28. </w:t>
            </w:r>
            <w:hyperlink r:id="rId12" w:history="1">
              <w:r w:rsidRPr="008B71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https://karger.com/mpp/article/30/1/17/204816/Principles-of-</w:t>
              </w:r>
              <w:r w:rsidRPr="008B71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Clinical-Ethics-and-Their</w:t>
              </w:r>
            </w:hyperlink>
          </w:p>
          <w:p w:rsidR="00552F34" w:rsidRDefault="00552F34" w:rsidP="007A4E50">
            <w:pPr>
              <w:cnfStyle w:val="000000000000"/>
            </w:pPr>
          </w:p>
        </w:tc>
      </w:tr>
      <w:tr w:rsidR="00E35BC2" w:rsidTr="00E35BC2">
        <w:trPr>
          <w:cnfStyle w:val="000000100000"/>
        </w:trPr>
        <w:tc>
          <w:tcPr>
            <w:cnfStyle w:val="001000000000"/>
            <w:tcW w:w="4392" w:type="dxa"/>
          </w:tcPr>
          <w:p w:rsidR="00552F34" w:rsidRPr="00602E3B" w:rsidRDefault="00552F34" w:rsidP="007A4E50"/>
        </w:tc>
        <w:tc>
          <w:tcPr>
            <w:tcW w:w="4392" w:type="dxa"/>
          </w:tcPr>
          <w:p w:rsidR="00552F34" w:rsidRPr="00383F3E" w:rsidRDefault="00552F34" w:rsidP="007A4E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552F34" w:rsidRDefault="00552F34" w:rsidP="007A4E50">
            <w:pPr>
              <w:cnfStyle w:val="000000100000"/>
            </w:pPr>
          </w:p>
        </w:tc>
      </w:tr>
      <w:tr w:rsidR="00E35BC2" w:rsidTr="00E35BC2">
        <w:tc>
          <w:tcPr>
            <w:cnfStyle w:val="001000000000"/>
            <w:tcW w:w="4392" w:type="dxa"/>
          </w:tcPr>
          <w:p w:rsidR="00552F34" w:rsidRPr="00602E3B" w:rsidRDefault="00992A6C" w:rsidP="00165C2C">
            <w:pPr>
              <w:spacing w:after="0" w:line="240" w:lineRule="auto"/>
              <w:rPr>
                <w:rFonts w:eastAsiaTheme="majorEastAsia" w:cstheme="majorBidi"/>
              </w:rPr>
            </w:pPr>
            <w:r w:rsidRPr="00602E3B">
              <w:rPr>
                <w:rStyle w:val="normaltextrun"/>
                <w:rFonts w:ascii="Calibri" w:hAnsi="Calibri"/>
                <w:b w:val="0"/>
                <w:color w:val="000000"/>
                <w:shd w:val="clear" w:color="auto" w:fill="FFFFFF"/>
              </w:rPr>
              <w:t>PO5. Apply management skills to leadership concepts.</w:t>
            </w:r>
            <w:r w:rsidRPr="00602E3B">
              <w:rPr>
                <w:rStyle w:val="eop"/>
                <w:rFonts w:ascii="Calibri" w:hAnsi="Calibri"/>
                <w:b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2" w:type="dxa"/>
          </w:tcPr>
          <w:p w:rsidR="00552F34" w:rsidRPr="00383F3E" w:rsidRDefault="00992A6C" w:rsidP="007A4E5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Having the necessary technical skills to ensure all duties are done does not guarantee that one is an effective leader. When a leader does not have the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management skills, </w:t>
            </w:r>
            <w:r w:rsidR="00277A36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their subordinates can suffer from low motivation or reduced productivity. </w:t>
            </w:r>
            <w:r w:rsidR="00B06C95" w:rsidRPr="00B06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Willman, J., &amp;</w:t>
            </w:r>
            <w:proofErr w:type="spellStart"/>
            <w:r w:rsidR="00B06C95" w:rsidRPr="00B06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Lucke-Wold</w:t>
            </w:r>
            <w:proofErr w:type="spellEnd"/>
            <w:r w:rsidR="00B06C95" w:rsidRPr="00B06C95">
              <w:rPr>
                <w:rFonts w:ascii="Times New Roman" w:hAnsi="Times New Roman" w:cs="Times New Roman"/>
                <w:sz w:val="24"/>
                <w:szCs w:val="24"/>
              </w:rPr>
              <w:t xml:space="preserve"> (2021) </w:t>
            </w:r>
            <w:r w:rsidR="00B06C95">
              <w:rPr>
                <w:rFonts w:ascii="Times New Roman" w:hAnsi="Times New Roman" w:cs="Times New Roman"/>
                <w:sz w:val="24"/>
                <w:szCs w:val="24"/>
              </w:rPr>
              <w:t>found that l</w:t>
            </w:r>
            <w:r w:rsidR="00277A36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ow staff morale has proven to increase healthcare costs since workers are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ineffective</w:t>
            </w:r>
            <w:r w:rsidR="00277A36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and can have high medical </w:t>
            </w:r>
            <w:r w:rsidR="007C4F6F" w:rsidRPr="00383F3E">
              <w:rPr>
                <w:rFonts w:ascii="Times New Roman" w:hAnsi="Times New Roman" w:cs="Times New Roman"/>
                <w:sz w:val="24"/>
                <w:szCs w:val="24"/>
              </w:rPr>
              <w:t>errors</w:t>
            </w:r>
            <w:r w:rsidR="00277A36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4F6F" w:rsidRPr="00383F3E" w:rsidRDefault="00992A6C" w:rsidP="00CC504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>Poor working conditions and resources have proved to increase staff turnover at a higher rate. However, integrating telehealth in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practice ease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the work of medical </w:t>
            </w:r>
            <w:proofErr w:type="gramStart"/>
            <w:r w:rsidR="00A600C8" w:rsidRPr="00383F3E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A600C8" w:rsidRPr="00383F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5046" w:rsidRPr="00AA0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5046" w:rsidRPr="00AA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5046" w:rsidRPr="00AA0964">
              <w:rPr>
                <w:rFonts w:ascii="Times New Roman" w:hAnsi="Times New Roman" w:cs="Times New Roman"/>
                <w:sz w:val="24"/>
                <w:szCs w:val="24"/>
              </w:rPr>
              <w:t>Gajarawala&amp;Pelkowski</w:t>
            </w:r>
            <w:proofErr w:type="spellEnd"/>
            <w:r w:rsidR="00CC5046" w:rsidRPr="00AA0964">
              <w:rPr>
                <w:rFonts w:ascii="Times New Roman" w:hAnsi="Times New Roman" w:cs="Times New Roman"/>
                <w:sz w:val="24"/>
                <w:szCs w:val="24"/>
              </w:rPr>
              <w:t>, 2021)</w:t>
            </w:r>
            <w:r w:rsidR="00A600C8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. Through telehealth, it will be easy for professionals to attend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A600C8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="00A600C8" w:rsidRPr="0038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employees without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needing</w:t>
            </w:r>
            <w:r w:rsidR="00A600C8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 q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r w:rsidR="00A600C8" w:rsidRPr="00383F3E">
              <w:rPr>
                <w:rFonts w:ascii="Times New Roman" w:hAnsi="Times New Roman" w:cs="Times New Roman"/>
                <w:sz w:val="24"/>
                <w:szCs w:val="24"/>
              </w:rPr>
              <w:t>ues in their offices.</w:t>
            </w:r>
            <w:r w:rsidR="0027760E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That creates time to concentrate on other essential areas. </w:t>
            </w:r>
            <w:r w:rsidR="00E039A3" w:rsidRPr="00383F3E">
              <w:rPr>
                <w:rFonts w:ascii="Times New Roman" w:hAnsi="Times New Roman" w:cs="Times New Roman"/>
                <w:sz w:val="24"/>
                <w:szCs w:val="24"/>
              </w:rPr>
              <w:t>Leaders showing the retention of their employees implies that they understand that there is a difference between management and leadership.</w:t>
            </w:r>
          </w:p>
        </w:tc>
        <w:tc>
          <w:tcPr>
            <w:tcW w:w="4392" w:type="dxa"/>
          </w:tcPr>
          <w:p w:rsidR="000B022F" w:rsidRPr="000B022F" w:rsidRDefault="000B022F" w:rsidP="000B022F">
            <w:pPr>
              <w:spacing w:after="40" w:line="240" w:lineRule="auto"/>
              <w:ind w:left="720" w:hanging="720"/>
              <w:contextualSpacing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Gajarawala</w:t>
            </w:r>
            <w:proofErr w:type="spellEnd"/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>, S. N., &amp;</w:t>
            </w:r>
            <w:proofErr w:type="spellStart"/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>Pelkowski</w:t>
            </w:r>
            <w:proofErr w:type="spellEnd"/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>, J. N. (2021). Telehealth benefits and barriers. </w:t>
            </w:r>
            <w:r w:rsidRPr="000B02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The Journal for Nurse Practitioners</w:t>
            </w:r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0B02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17</w:t>
            </w:r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(2), 218-221. </w:t>
            </w:r>
            <w:hyperlink r:id="rId13" w:history="1">
              <w:r w:rsidRPr="000B02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https://www.ncbi.nlm.nih.gov/pmc/articles/PMC7577680/</w:t>
              </w:r>
            </w:hyperlink>
          </w:p>
          <w:p w:rsidR="00552F34" w:rsidRPr="000B022F" w:rsidRDefault="000B022F" w:rsidP="000B022F">
            <w:pPr>
              <w:spacing w:line="240" w:lineRule="auto"/>
              <w:ind w:left="720" w:hanging="720"/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22F">
              <w:rPr>
                <w:rFonts w:ascii="Times New Roman" w:hAnsi="Times New Roman" w:cs="Times New Roman"/>
                <w:sz w:val="24"/>
                <w:szCs w:val="24"/>
              </w:rPr>
              <w:t>Willman, J., &amp;</w:t>
            </w:r>
            <w:proofErr w:type="spellStart"/>
            <w:r w:rsidRPr="000B022F">
              <w:rPr>
                <w:rFonts w:ascii="Times New Roman" w:hAnsi="Times New Roman" w:cs="Times New Roman"/>
                <w:sz w:val="24"/>
                <w:szCs w:val="24"/>
              </w:rPr>
              <w:t>Lucke-Wold</w:t>
            </w:r>
            <w:proofErr w:type="spellEnd"/>
            <w:r w:rsidRPr="000B022F">
              <w:rPr>
                <w:rFonts w:ascii="Times New Roman" w:hAnsi="Times New Roman" w:cs="Times New Roman"/>
                <w:sz w:val="24"/>
                <w:szCs w:val="24"/>
              </w:rPr>
              <w:t>, B. (2021). An Approach to Improving Clinical Morale: Targeting a Positive Culture. </w:t>
            </w:r>
            <w:r w:rsidRPr="000B02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 and advances in pharmacy and life sciences</w:t>
            </w:r>
            <w:r w:rsidRPr="000B022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B02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B022F">
              <w:rPr>
                <w:rFonts w:ascii="Times New Roman" w:hAnsi="Times New Roman" w:cs="Times New Roman"/>
                <w:sz w:val="24"/>
                <w:szCs w:val="24"/>
              </w:rPr>
              <w:t xml:space="preserve">(2), 36. </w:t>
            </w:r>
            <w:hyperlink r:id="rId14" w:history="1">
              <w:r w:rsidRPr="000B02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https://www.ncbi.nlm.nih.gov/pmc/articles/PMC8722529/</w:t>
              </w:r>
            </w:hyperlink>
          </w:p>
          <w:p w:rsidR="000B022F" w:rsidRDefault="000B022F" w:rsidP="007A4E50">
            <w:pPr>
              <w:cnfStyle w:val="000000000000"/>
            </w:pPr>
          </w:p>
        </w:tc>
      </w:tr>
      <w:tr w:rsidR="00E35BC2" w:rsidTr="00E35BC2">
        <w:trPr>
          <w:cnfStyle w:val="000000100000"/>
        </w:trPr>
        <w:tc>
          <w:tcPr>
            <w:cnfStyle w:val="001000000000"/>
            <w:tcW w:w="4392" w:type="dxa"/>
          </w:tcPr>
          <w:p w:rsidR="00552F34" w:rsidRPr="00602E3B" w:rsidRDefault="00552F34" w:rsidP="007A4E50"/>
        </w:tc>
        <w:tc>
          <w:tcPr>
            <w:tcW w:w="4392" w:type="dxa"/>
          </w:tcPr>
          <w:p w:rsidR="00552F34" w:rsidRPr="00383F3E" w:rsidRDefault="00552F34" w:rsidP="007A4E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552F34" w:rsidRDefault="00552F34" w:rsidP="007A4E50">
            <w:pPr>
              <w:cnfStyle w:val="000000100000"/>
            </w:pPr>
          </w:p>
        </w:tc>
      </w:tr>
      <w:tr w:rsidR="00E35BC2" w:rsidTr="00E35BC2">
        <w:tc>
          <w:tcPr>
            <w:cnfStyle w:val="001000000000"/>
            <w:tcW w:w="4392" w:type="dxa"/>
          </w:tcPr>
          <w:p w:rsidR="00552F34" w:rsidRPr="00602E3B" w:rsidRDefault="00992A6C" w:rsidP="00165C2C">
            <w:pPr>
              <w:spacing w:after="0" w:line="240" w:lineRule="auto"/>
              <w:rPr>
                <w:rFonts w:eastAsiaTheme="majorEastAsia" w:cstheme="majorBidi"/>
              </w:rPr>
            </w:pPr>
            <w:r w:rsidRPr="00602E3B">
              <w:rPr>
                <w:rStyle w:val="normaltextrun"/>
                <w:rFonts w:ascii="Calibri" w:hAnsi="Calibri"/>
                <w:b w:val="0"/>
                <w:color w:val="000000"/>
                <w:shd w:val="clear" w:color="auto" w:fill="FFFFFF"/>
              </w:rPr>
              <w:t>PO6. Compare health service organizations and delivery structures, functions, and professionals.</w:t>
            </w:r>
            <w:r w:rsidRPr="00602E3B">
              <w:rPr>
                <w:rStyle w:val="eop"/>
                <w:rFonts w:ascii="Calibri" w:hAnsi="Calibri"/>
                <w:b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2" w:type="dxa"/>
          </w:tcPr>
          <w:p w:rsidR="00552F34" w:rsidRPr="00383F3E" w:rsidRDefault="00992A6C" w:rsidP="00D67AA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Medical facilities tend to offer different medical services. Moreover, care provision strategies tend to differ in every facility. </w:t>
            </w:r>
            <w:r w:rsidR="00D67AAE" w:rsidRPr="00383F3E">
              <w:rPr>
                <w:rFonts w:ascii="Times New Roman" w:hAnsi="Times New Roman" w:cs="Times New Roman"/>
                <w:sz w:val="24"/>
                <w:szCs w:val="24"/>
              </w:rPr>
              <w:t>Healthcare administrators' role i</w:t>
            </w:r>
            <w:r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s to compare their care standards with other facilities and enhance their services to match or outdo their fellow facilities. Integrating telehealth ensures that facilities offer </w:t>
            </w:r>
            <w:r w:rsidR="00302A80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quality services compared to those </w:t>
            </w:r>
            <w:proofErr w:type="gramStart"/>
            <w:r w:rsidR="00302A80" w:rsidRPr="00383F3E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r w:rsidR="00E24F74" w:rsidRPr="00AA0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24F74" w:rsidRPr="00AA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F74" w:rsidRPr="00AA0964">
              <w:rPr>
                <w:rFonts w:ascii="Times New Roman" w:hAnsi="Times New Roman" w:cs="Times New Roman"/>
                <w:sz w:val="24"/>
                <w:szCs w:val="24"/>
              </w:rPr>
              <w:t>Gajarawala&amp;Pelkowski</w:t>
            </w:r>
            <w:proofErr w:type="spellEnd"/>
            <w:r w:rsidR="00E24F74" w:rsidRPr="00AA0964">
              <w:rPr>
                <w:rFonts w:ascii="Times New Roman" w:hAnsi="Times New Roman" w:cs="Times New Roman"/>
                <w:sz w:val="24"/>
                <w:szCs w:val="24"/>
              </w:rPr>
              <w:t>, 2021)</w:t>
            </w:r>
            <w:r w:rsidR="00302A80" w:rsidRPr="00383F3E">
              <w:rPr>
                <w:rFonts w:ascii="Times New Roman" w:hAnsi="Times New Roman" w:cs="Times New Roman"/>
                <w:sz w:val="24"/>
                <w:szCs w:val="24"/>
              </w:rPr>
              <w:t xml:space="preserve">. Having telehealth will create uniqueness in patient follow-ups and medical costs. Lastly, facilities with telehealth have manageable workloads for their professionals compared to facilities lacking the technology.  </w:t>
            </w:r>
          </w:p>
        </w:tc>
        <w:tc>
          <w:tcPr>
            <w:tcW w:w="4392" w:type="dxa"/>
          </w:tcPr>
          <w:p w:rsidR="00331387" w:rsidRPr="000B022F" w:rsidRDefault="00331387" w:rsidP="00331387">
            <w:pPr>
              <w:spacing w:after="40" w:line="240" w:lineRule="auto"/>
              <w:ind w:left="720" w:hanging="720"/>
              <w:contextualSpacing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>Gajarawala</w:t>
            </w:r>
            <w:proofErr w:type="spellEnd"/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>, S. N., &amp;</w:t>
            </w:r>
            <w:proofErr w:type="spellStart"/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>Pelkowski</w:t>
            </w:r>
            <w:proofErr w:type="spellEnd"/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>, J. N. (2021). Telehealth benefits and barriers. </w:t>
            </w:r>
            <w:r w:rsidRPr="000B02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The Journal for Nurse Practitioners</w:t>
            </w:r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0B02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17</w:t>
            </w:r>
            <w:r w:rsidRPr="000B0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(2), 218-221. </w:t>
            </w:r>
            <w:hyperlink r:id="rId15" w:history="1">
              <w:r w:rsidRPr="000B02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https://www.ncbi.nlm.nih.gov/pmc/articles/PMC7577680/</w:t>
              </w:r>
            </w:hyperlink>
          </w:p>
          <w:p w:rsidR="00552F34" w:rsidRDefault="00552F34" w:rsidP="007A4E50">
            <w:pPr>
              <w:cnfStyle w:val="000000000000"/>
            </w:pPr>
          </w:p>
        </w:tc>
      </w:tr>
      <w:tr w:rsidR="00E35BC2" w:rsidTr="00E35BC2">
        <w:trPr>
          <w:cnfStyle w:val="000000100000"/>
        </w:trPr>
        <w:tc>
          <w:tcPr>
            <w:cnfStyle w:val="001000000000"/>
            <w:tcW w:w="4392" w:type="dxa"/>
          </w:tcPr>
          <w:p w:rsidR="00552F34" w:rsidRDefault="00552F34" w:rsidP="007A4E50"/>
        </w:tc>
        <w:tc>
          <w:tcPr>
            <w:tcW w:w="4392" w:type="dxa"/>
          </w:tcPr>
          <w:p w:rsidR="00552F34" w:rsidRDefault="00552F34" w:rsidP="007A4E50">
            <w:pPr>
              <w:cnfStyle w:val="000000100000"/>
            </w:pPr>
          </w:p>
        </w:tc>
        <w:tc>
          <w:tcPr>
            <w:tcW w:w="4392" w:type="dxa"/>
          </w:tcPr>
          <w:p w:rsidR="00552F34" w:rsidRDefault="00552F34" w:rsidP="007A4E50">
            <w:pPr>
              <w:cnfStyle w:val="000000100000"/>
            </w:pPr>
          </w:p>
        </w:tc>
      </w:tr>
    </w:tbl>
    <w:p w:rsidR="00EF18E4" w:rsidRDefault="00EF18E4"/>
    <w:p w:rsidR="00C718EF" w:rsidRDefault="00C718EF"/>
    <w:sectPr w:rsidR="00C718EF" w:rsidSect="00552F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5F2C"/>
    <w:multiLevelType w:val="hybridMultilevel"/>
    <w:tmpl w:val="B4F473EC"/>
    <w:lvl w:ilvl="0" w:tplc="56186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430A6" w:tentative="1">
      <w:start w:val="1"/>
      <w:numFmt w:val="lowerLetter"/>
      <w:lvlText w:val="%2."/>
      <w:lvlJc w:val="left"/>
      <w:pPr>
        <w:ind w:left="1440" w:hanging="360"/>
      </w:pPr>
    </w:lvl>
    <w:lvl w:ilvl="2" w:tplc="AD400D70" w:tentative="1">
      <w:start w:val="1"/>
      <w:numFmt w:val="lowerRoman"/>
      <w:lvlText w:val="%3."/>
      <w:lvlJc w:val="right"/>
      <w:pPr>
        <w:ind w:left="2160" w:hanging="180"/>
      </w:pPr>
    </w:lvl>
    <w:lvl w:ilvl="3" w:tplc="060C7138" w:tentative="1">
      <w:start w:val="1"/>
      <w:numFmt w:val="decimal"/>
      <w:lvlText w:val="%4."/>
      <w:lvlJc w:val="left"/>
      <w:pPr>
        <w:ind w:left="2880" w:hanging="360"/>
      </w:pPr>
    </w:lvl>
    <w:lvl w:ilvl="4" w:tplc="F314E6B4" w:tentative="1">
      <w:start w:val="1"/>
      <w:numFmt w:val="lowerLetter"/>
      <w:lvlText w:val="%5."/>
      <w:lvlJc w:val="left"/>
      <w:pPr>
        <w:ind w:left="3600" w:hanging="360"/>
      </w:pPr>
    </w:lvl>
    <w:lvl w:ilvl="5" w:tplc="497EC85A" w:tentative="1">
      <w:start w:val="1"/>
      <w:numFmt w:val="lowerRoman"/>
      <w:lvlText w:val="%6."/>
      <w:lvlJc w:val="right"/>
      <w:pPr>
        <w:ind w:left="4320" w:hanging="180"/>
      </w:pPr>
    </w:lvl>
    <w:lvl w:ilvl="6" w:tplc="BE72AE20" w:tentative="1">
      <w:start w:val="1"/>
      <w:numFmt w:val="decimal"/>
      <w:lvlText w:val="%7."/>
      <w:lvlJc w:val="left"/>
      <w:pPr>
        <w:ind w:left="5040" w:hanging="360"/>
      </w:pPr>
    </w:lvl>
    <w:lvl w:ilvl="7" w:tplc="8AE8460E" w:tentative="1">
      <w:start w:val="1"/>
      <w:numFmt w:val="lowerLetter"/>
      <w:lvlText w:val="%8."/>
      <w:lvlJc w:val="left"/>
      <w:pPr>
        <w:ind w:left="5760" w:hanging="360"/>
      </w:pPr>
    </w:lvl>
    <w:lvl w:ilvl="8" w:tplc="DA347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10A85"/>
    <w:multiLevelType w:val="hybridMultilevel"/>
    <w:tmpl w:val="7840B712"/>
    <w:lvl w:ilvl="0" w:tplc="A4642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BE4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C7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A5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85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E4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E8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8F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05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E3NzQyMTYwNLAwNDVV0lEKTi0uzszPAykwqgUAFixQkCwAAAA="/>
  </w:docVars>
  <w:rsids>
    <w:rsidRoot w:val="00552F34"/>
    <w:rsid w:val="00012098"/>
    <w:rsid w:val="00060ED9"/>
    <w:rsid w:val="000B022F"/>
    <w:rsid w:val="00165C2C"/>
    <w:rsid w:val="001802B5"/>
    <w:rsid w:val="00184125"/>
    <w:rsid w:val="002168A0"/>
    <w:rsid w:val="0022117B"/>
    <w:rsid w:val="00222DBF"/>
    <w:rsid w:val="00224C0E"/>
    <w:rsid w:val="00231D4E"/>
    <w:rsid w:val="002420D0"/>
    <w:rsid w:val="002504F3"/>
    <w:rsid w:val="0027760E"/>
    <w:rsid w:val="00277A36"/>
    <w:rsid w:val="002B05F5"/>
    <w:rsid w:val="00302A80"/>
    <w:rsid w:val="003207B7"/>
    <w:rsid w:val="00331387"/>
    <w:rsid w:val="00383F3E"/>
    <w:rsid w:val="00386E1D"/>
    <w:rsid w:val="00533AAA"/>
    <w:rsid w:val="00552F34"/>
    <w:rsid w:val="00562BE2"/>
    <w:rsid w:val="00602E3B"/>
    <w:rsid w:val="00660574"/>
    <w:rsid w:val="006E35BE"/>
    <w:rsid w:val="00707130"/>
    <w:rsid w:val="00786583"/>
    <w:rsid w:val="007A4E50"/>
    <w:rsid w:val="007C4F6F"/>
    <w:rsid w:val="008454C9"/>
    <w:rsid w:val="00852AF6"/>
    <w:rsid w:val="00874893"/>
    <w:rsid w:val="00876D65"/>
    <w:rsid w:val="00884620"/>
    <w:rsid w:val="008B6C13"/>
    <w:rsid w:val="008B7108"/>
    <w:rsid w:val="008C1336"/>
    <w:rsid w:val="00992A6C"/>
    <w:rsid w:val="009E0836"/>
    <w:rsid w:val="00A600C8"/>
    <w:rsid w:val="00A70A86"/>
    <w:rsid w:val="00AA0964"/>
    <w:rsid w:val="00B06C95"/>
    <w:rsid w:val="00C037EB"/>
    <w:rsid w:val="00C718EF"/>
    <w:rsid w:val="00C81B52"/>
    <w:rsid w:val="00CB0C42"/>
    <w:rsid w:val="00CC5046"/>
    <w:rsid w:val="00D67AAE"/>
    <w:rsid w:val="00D7648C"/>
    <w:rsid w:val="00D82BF5"/>
    <w:rsid w:val="00DB1294"/>
    <w:rsid w:val="00DD545E"/>
    <w:rsid w:val="00DF0A65"/>
    <w:rsid w:val="00E039A3"/>
    <w:rsid w:val="00E24F74"/>
    <w:rsid w:val="00E252C2"/>
    <w:rsid w:val="00E25311"/>
    <w:rsid w:val="00E35BC2"/>
    <w:rsid w:val="00E7725F"/>
    <w:rsid w:val="00E81355"/>
    <w:rsid w:val="00EA7692"/>
    <w:rsid w:val="00EF18E4"/>
    <w:rsid w:val="00F725DC"/>
    <w:rsid w:val="00F77FBB"/>
    <w:rsid w:val="00FD478F"/>
    <w:rsid w:val="00FF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34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552F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ListTable1Light">
    <w:name w:val="List Table 1 Light"/>
    <w:basedOn w:val="TableNormal"/>
    <w:uiPriority w:val="46"/>
    <w:rsid w:val="00552F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165C2C"/>
  </w:style>
  <w:style w:type="character" w:customStyle="1" w:styleId="eop">
    <w:name w:val="eop"/>
    <w:basedOn w:val="DefaultParagraphFont"/>
    <w:rsid w:val="00165C2C"/>
  </w:style>
  <w:style w:type="character" w:styleId="Hyperlink">
    <w:name w:val="Hyperlink"/>
    <w:basedOn w:val="DefaultParagraphFont"/>
    <w:uiPriority w:val="99"/>
    <w:unhideWhenUsed/>
    <w:rsid w:val="00A70A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A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577680/" TargetMode="External"/><Relationship Id="rId13" Type="http://schemas.openxmlformats.org/officeDocument/2006/relationships/hyperlink" Target="https://www.ncbi.nlm.nih.gov/pmc/articles/PMC75776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8906562/" TargetMode="External"/><Relationship Id="rId12" Type="http://schemas.openxmlformats.org/officeDocument/2006/relationships/hyperlink" Target="https://karger.com/mpp/article/30/1/17/204816/Principles-of-Clinical-Ethics-and-The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dpi.com/2076-3387/10/3/59" TargetMode="External"/><Relationship Id="rId11" Type="http://schemas.openxmlformats.org/officeDocument/2006/relationships/hyperlink" Target="https://www.ncbi.nlm.nih.gov/pmc/articles/PMC8420945/" TargetMode="External"/><Relationship Id="rId5" Type="http://schemas.openxmlformats.org/officeDocument/2006/relationships/hyperlink" Target="https://www.ncbi.nlm.nih.gov/pmc/articles/PMC6547771/" TargetMode="External"/><Relationship Id="rId15" Type="http://schemas.openxmlformats.org/officeDocument/2006/relationships/hyperlink" Target="https://www.ncbi.nlm.nih.gov/pmc/articles/PMC7577680/" TargetMode="External"/><Relationship Id="rId10" Type="http://schemas.openxmlformats.org/officeDocument/2006/relationships/hyperlink" Target="https://www.ncbi.nlm.nih.gov/pmc/articles/PMC84209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mchealthservres.biomedcentral.com/articles/10.1186/s12913-022-07829-2" TargetMode="External"/><Relationship Id="rId14" Type="http://schemas.openxmlformats.org/officeDocument/2006/relationships/hyperlink" Target="https://www.ncbi.nlm.nih.gov/pmc/articles/PMC87225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Nottingham, Leigha</dc:creator>
  <cp:lastModifiedBy>Windows User</cp:lastModifiedBy>
  <cp:revision>2</cp:revision>
  <dcterms:created xsi:type="dcterms:W3CDTF">2023-11-12T11:14:00Z</dcterms:created>
  <dcterms:modified xsi:type="dcterms:W3CDTF">2023-11-12T11:14:00Z</dcterms:modified>
</cp:coreProperties>
</file>