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5ED71" w14:textId="058A7819" w:rsidR="00935428" w:rsidRPr="009D69FE" w:rsidRDefault="00935428" w:rsidP="00935428">
      <w:pPr>
        <w:jc w:val="center"/>
        <w:rPr>
          <w:rFonts w:ascii="Garamond" w:hAnsi="Garamond"/>
          <w:b/>
          <w:bCs/>
          <w:sz w:val="24"/>
          <w:szCs w:val="24"/>
          <w:u w:val="single"/>
        </w:rPr>
      </w:pPr>
      <w:r w:rsidRPr="009D69FE">
        <w:rPr>
          <w:rFonts w:ascii="Garamond" w:hAnsi="Garamond"/>
          <w:b/>
          <w:bCs/>
          <w:sz w:val="24"/>
          <w:szCs w:val="24"/>
          <w:u w:val="single"/>
        </w:rPr>
        <w:t xml:space="preserve">Lesson </w:t>
      </w:r>
      <w:r w:rsidRPr="009D69FE">
        <w:rPr>
          <w:rFonts w:ascii="Garamond" w:hAnsi="Garamond"/>
          <w:b/>
          <w:bCs/>
          <w:sz w:val="24"/>
          <w:szCs w:val="24"/>
          <w:u w:val="single"/>
        </w:rPr>
        <w:t>10</w:t>
      </w:r>
      <w:r w:rsidRPr="009D69FE">
        <w:rPr>
          <w:rFonts w:ascii="Garamond" w:hAnsi="Garamond"/>
          <w:b/>
          <w:bCs/>
          <w:sz w:val="24"/>
          <w:szCs w:val="24"/>
          <w:u w:val="single"/>
        </w:rPr>
        <w:t xml:space="preserve"> Overview &amp; Commentary</w:t>
      </w:r>
    </w:p>
    <w:p w14:paraId="4452FCEF" w14:textId="77777777" w:rsidR="00935428" w:rsidRPr="00935428" w:rsidRDefault="00935428" w:rsidP="00935428">
      <w:pPr>
        <w:shd w:val="clear" w:color="auto" w:fill="FFFFFF"/>
        <w:spacing w:before="195" w:after="150"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In this lesson, we will explore and examine the following issues in the age of AI:</w:t>
      </w:r>
    </w:p>
    <w:p w14:paraId="3EBE249B" w14:textId="77777777" w:rsidR="00935428" w:rsidRPr="00935428" w:rsidRDefault="00935428" w:rsidP="00935428">
      <w:pPr>
        <w:numPr>
          <w:ilvl w:val="0"/>
          <w:numId w:val="1"/>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leadership transformation</w:t>
      </w:r>
    </w:p>
    <w:p w14:paraId="1F8F2899" w14:textId="77777777" w:rsidR="00935428" w:rsidRPr="00935428" w:rsidRDefault="00935428" w:rsidP="00935428">
      <w:pPr>
        <w:numPr>
          <w:ilvl w:val="0"/>
          <w:numId w:val="1"/>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entrepreneurship</w:t>
      </w:r>
    </w:p>
    <w:p w14:paraId="52154AB3" w14:textId="77777777" w:rsidR="00935428" w:rsidRPr="00935428" w:rsidRDefault="00935428" w:rsidP="00935428">
      <w:pPr>
        <w:numPr>
          <w:ilvl w:val="0"/>
          <w:numId w:val="1"/>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regulation</w:t>
      </w:r>
    </w:p>
    <w:p w14:paraId="15DF9C0F" w14:textId="77777777" w:rsidR="00935428" w:rsidRPr="00935428" w:rsidRDefault="00935428" w:rsidP="00935428">
      <w:pPr>
        <w:numPr>
          <w:ilvl w:val="0"/>
          <w:numId w:val="1"/>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community</w:t>
      </w:r>
    </w:p>
    <w:p w14:paraId="3E72958F" w14:textId="77777777" w:rsidR="00935428" w:rsidRPr="00935428" w:rsidRDefault="00935428" w:rsidP="00935428">
      <w:pPr>
        <w:numPr>
          <w:ilvl w:val="0"/>
          <w:numId w:val="1"/>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the leadership of collective wisdom</w:t>
      </w:r>
    </w:p>
    <w:p w14:paraId="4CE06BEF" w14:textId="77777777" w:rsidR="00935428" w:rsidRPr="00935428" w:rsidRDefault="00935428" w:rsidP="00935428">
      <w:pPr>
        <w:shd w:val="clear" w:color="auto" w:fill="FFFFFF"/>
        <w:spacing w:before="195" w:after="150"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In addition, you will learn about the following topics:</w:t>
      </w:r>
    </w:p>
    <w:p w14:paraId="5899999F" w14:textId="77777777" w:rsidR="00935428" w:rsidRPr="00935428" w:rsidRDefault="00935428" w:rsidP="00935428">
      <w:pPr>
        <w:numPr>
          <w:ilvl w:val="0"/>
          <w:numId w:val="2"/>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the building blocks of an effective capability-building program</w:t>
      </w:r>
    </w:p>
    <w:p w14:paraId="17A754E3" w14:textId="77777777" w:rsidR="00935428" w:rsidRPr="00935428" w:rsidRDefault="00935428" w:rsidP="00935428">
      <w:pPr>
        <w:numPr>
          <w:ilvl w:val="0"/>
          <w:numId w:val="2"/>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role modeling</w:t>
      </w:r>
    </w:p>
    <w:p w14:paraId="09704011" w14:textId="77777777" w:rsidR="00935428" w:rsidRPr="00935428" w:rsidRDefault="00935428" w:rsidP="00935428">
      <w:pPr>
        <w:numPr>
          <w:ilvl w:val="0"/>
          <w:numId w:val="2"/>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widespread employee engagement</w:t>
      </w:r>
    </w:p>
    <w:p w14:paraId="3256771C" w14:textId="77777777" w:rsidR="00935428" w:rsidRPr="00935428" w:rsidRDefault="00935428" w:rsidP="00935428">
      <w:pPr>
        <w:numPr>
          <w:ilvl w:val="0"/>
          <w:numId w:val="2"/>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shaping a new learning environment: virtual delivery</w:t>
      </w:r>
    </w:p>
    <w:p w14:paraId="3A244A15" w14:textId="77777777" w:rsidR="00935428" w:rsidRPr="00935428" w:rsidRDefault="00935428" w:rsidP="00935428">
      <w:pPr>
        <w:numPr>
          <w:ilvl w:val="0"/>
          <w:numId w:val="2"/>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capabilities and transformation</w:t>
      </w:r>
    </w:p>
    <w:p w14:paraId="1D3AEA76" w14:textId="77777777" w:rsidR="00935428" w:rsidRPr="00935428" w:rsidRDefault="00935428" w:rsidP="00935428">
      <w:pPr>
        <w:shd w:val="clear" w:color="auto" w:fill="FFFFFF"/>
        <w:spacing w:before="195" w:after="150"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As you complete this lesson, consider the challenge of leading in the age of AI and the unique competencies—mindsets and skill sets—that will be required. It can be argued that digital literacy is essential but insufficient. In conjunction with digital literacy, it can be argued that emotional intelligence (EQ) and cultural intelligence (CQ) will also be prerequisites. For instance, what role can empathy, compassion, and authenticity play for leaders as they strive to develop human potential in their organizations in the age of AI? Furthermore, in a culturally diverse world—languages, beliefs, customs, rituals, religions—it can be argued that creating organizational cultures that promote equity, inclusion, diversity, and belonging, will be equally important.</w:t>
      </w:r>
    </w:p>
    <w:p w14:paraId="6A26FB59" w14:textId="2C5E0726" w:rsidR="00935428" w:rsidRPr="00935428" w:rsidRDefault="00935428" w:rsidP="009D69FE">
      <w:pPr>
        <w:shd w:val="clear" w:color="auto" w:fill="FFFFFF"/>
        <w:spacing w:before="120" w:after="120" w:line="312" w:lineRule="atLeast"/>
        <w:outlineLvl w:val="3"/>
        <w:rPr>
          <w:rFonts w:ascii="Garamond" w:eastAsia="Times New Roman" w:hAnsi="Garamond" w:cs="Arial"/>
          <w:color w:val="222B33"/>
          <w:sz w:val="24"/>
          <w:szCs w:val="24"/>
        </w:rPr>
      </w:pPr>
      <w:r w:rsidRPr="00935428">
        <w:rPr>
          <w:rFonts w:ascii="Garamond" w:eastAsia="Times New Roman" w:hAnsi="Garamond" w:cs="Arial"/>
          <w:b/>
          <w:bCs/>
          <w:color w:val="00366C"/>
          <w:sz w:val="24"/>
          <w:szCs w:val="24"/>
        </w:rPr>
        <w:t> Objectives</w:t>
      </w:r>
      <w:r w:rsidR="009D69FE">
        <w:rPr>
          <w:rFonts w:ascii="Garamond" w:eastAsia="Times New Roman" w:hAnsi="Garamond" w:cs="Arial"/>
          <w:color w:val="00366C"/>
          <w:sz w:val="24"/>
          <w:szCs w:val="24"/>
        </w:rPr>
        <w:t xml:space="preserve"> </w:t>
      </w:r>
      <w:r w:rsidRPr="00935428">
        <w:rPr>
          <w:rFonts w:ascii="Garamond" w:eastAsia="Times New Roman" w:hAnsi="Garamond" w:cs="Arial"/>
          <w:color w:val="222B33"/>
          <w:sz w:val="24"/>
          <w:szCs w:val="24"/>
        </w:rPr>
        <w:t>After successfully completing this lesson, you should be able to do the following things:</w:t>
      </w:r>
    </w:p>
    <w:p w14:paraId="74857DD1" w14:textId="77777777" w:rsidR="00935428" w:rsidRPr="00935428" w:rsidRDefault="00935428" w:rsidP="00935428">
      <w:pPr>
        <w:numPr>
          <w:ilvl w:val="0"/>
          <w:numId w:val="3"/>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Discuss the leadership mandate in the age of AI.</w:t>
      </w:r>
    </w:p>
    <w:p w14:paraId="4038AEC4" w14:textId="77777777" w:rsidR="00935428" w:rsidRPr="00935428" w:rsidRDefault="00935428" w:rsidP="00935428">
      <w:pPr>
        <w:numPr>
          <w:ilvl w:val="0"/>
          <w:numId w:val="3"/>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Discuss how digital transformation will affect HR.</w:t>
      </w:r>
    </w:p>
    <w:p w14:paraId="59956826" w14:textId="77777777" w:rsidR="00935428" w:rsidRPr="00935428" w:rsidRDefault="00935428" w:rsidP="00935428">
      <w:pPr>
        <w:numPr>
          <w:ilvl w:val="0"/>
          <w:numId w:val="3"/>
        </w:numPr>
        <w:shd w:val="clear" w:color="auto" w:fill="FFFFFF"/>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color w:val="222B33"/>
          <w:sz w:val="24"/>
          <w:szCs w:val="24"/>
        </w:rPr>
        <w:t>Describe the role, responsibilities, potential contributions, and impact of HRER leaders and practitioners relative to organizational capacity building in the age of AI.</w:t>
      </w:r>
    </w:p>
    <w:p w14:paraId="758B2210" w14:textId="27D693E8" w:rsidR="00935428" w:rsidRPr="00935428" w:rsidRDefault="00935428" w:rsidP="009D69FE">
      <w:pPr>
        <w:shd w:val="clear" w:color="auto" w:fill="FFFFFF"/>
        <w:spacing w:before="120" w:after="120" w:line="312" w:lineRule="atLeast"/>
        <w:outlineLvl w:val="3"/>
        <w:rPr>
          <w:rFonts w:ascii="Garamond" w:eastAsia="Times New Roman" w:hAnsi="Garamond" w:cs="Arial"/>
          <w:color w:val="222B33"/>
          <w:sz w:val="24"/>
          <w:szCs w:val="24"/>
        </w:rPr>
      </w:pPr>
      <w:r w:rsidRPr="00935428">
        <w:rPr>
          <w:rFonts w:ascii="Garamond" w:eastAsia="Times New Roman" w:hAnsi="Garamond" w:cs="Arial"/>
          <w:b/>
          <w:bCs/>
          <w:color w:val="00366C"/>
          <w:sz w:val="24"/>
          <w:szCs w:val="24"/>
        </w:rPr>
        <w:t>Reading and Activities</w:t>
      </w:r>
      <w:r w:rsidR="009D69FE">
        <w:rPr>
          <w:rFonts w:ascii="Garamond" w:eastAsia="Times New Roman" w:hAnsi="Garamond" w:cs="Arial"/>
          <w:b/>
          <w:bCs/>
          <w:color w:val="00366C"/>
          <w:sz w:val="24"/>
          <w:szCs w:val="24"/>
        </w:rPr>
        <w:t xml:space="preserve"> </w:t>
      </w:r>
      <w:r w:rsidRPr="00935428">
        <w:rPr>
          <w:rFonts w:ascii="Garamond" w:eastAsia="Times New Roman" w:hAnsi="Garamond" w:cs="Arial"/>
          <w:b/>
          <w:bCs/>
          <w:color w:val="222B33"/>
          <w:sz w:val="24"/>
          <w:szCs w:val="24"/>
        </w:rPr>
        <w:t>Lesson 10 Commentary</w:t>
      </w:r>
    </w:p>
    <w:p w14:paraId="19B98446" w14:textId="01F57917" w:rsidR="00935428" w:rsidRPr="00935428" w:rsidRDefault="00935428" w:rsidP="00935428">
      <w:pPr>
        <w:spacing w:before="195" w:after="150" w:line="240" w:lineRule="auto"/>
        <w:rPr>
          <w:rFonts w:ascii="Garamond" w:eastAsia="Times New Roman" w:hAnsi="Garamond" w:cs="Arial"/>
          <w:b/>
          <w:bCs/>
          <w:color w:val="222B33"/>
          <w:sz w:val="24"/>
          <w:szCs w:val="24"/>
        </w:rPr>
      </w:pPr>
      <w:r w:rsidRPr="00935428">
        <w:rPr>
          <w:rFonts w:ascii="Garamond" w:eastAsia="Times New Roman" w:hAnsi="Garamond" w:cs="Arial"/>
          <w:b/>
          <w:bCs/>
          <w:color w:val="222B33"/>
          <w:sz w:val="24"/>
          <w:szCs w:val="24"/>
        </w:rPr>
        <w:t>Text:</w:t>
      </w:r>
      <w:r w:rsidRPr="009D69FE">
        <w:rPr>
          <w:rFonts w:ascii="Garamond" w:eastAsia="Times New Roman" w:hAnsi="Garamond" w:cs="Arial"/>
          <w:b/>
          <w:bCs/>
          <w:color w:val="222B33"/>
          <w:sz w:val="24"/>
          <w:szCs w:val="24"/>
        </w:rPr>
        <w:t xml:space="preserve"> </w:t>
      </w:r>
      <w:r w:rsidRPr="00935428">
        <w:rPr>
          <w:rFonts w:ascii="Garamond" w:eastAsia="Times New Roman" w:hAnsi="Garamond" w:cs="Arial"/>
          <w:b/>
          <w:bCs/>
          <w:color w:val="222B33"/>
          <w:sz w:val="24"/>
          <w:szCs w:val="24"/>
        </w:rPr>
        <w:t>Ch. 10 - A Leadership Mandate</w:t>
      </w:r>
    </w:p>
    <w:p w14:paraId="7D14304B" w14:textId="77777777" w:rsidR="00935428" w:rsidRPr="00935428" w:rsidRDefault="00935428" w:rsidP="00935428">
      <w:pPr>
        <w:spacing w:before="195" w:after="150" w:line="240" w:lineRule="auto"/>
        <w:rPr>
          <w:rFonts w:ascii="Garamond" w:eastAsia="Times New Roman" w:hAnsi="Garamond" w:cs="Arial"/>
          <w:color w:val="222B33"/>
          <w:sz w:val="24"/>
          <w:szCs w:val="24"/>
        </w:rPr>
      </w:pPr>
      <w:r w:rsidRPr="00935428">
        <w:rPr>
          <w:rFonts w:ascii="Garamond" w:eastAsia="Times New Roman" w:hAnsi="Garamond" w:cs="Arial"/>
          <w:b/>
          <w:bCs/>
          <w:color w:val="222B33"/>
          <w:sz w:val="24"/>
          <w:szCs w:val="24"/>
        </w:rPr>
        <w:t>Other Readings:</w:t>
      </w:r>
    </w:p>
    <w:p w14:paraId="5832211E" w14:textId="77777777" w:rsidR="003665EB" w:rsidRPr="009D69FE" w:rsidRDefault="00935428" w:rsidP="00235153">
      <w:pPr>
        <w:numPr>
          <w:ilvl w:val="0"/>
          <w:numId w:val="6"/>
        </w:numPr>
        <w:spacing w:before="100" w:beforeAutospacing="1" w:after="100" w:afterAutospacing="1" w:line="240" w:lineRule="auto"/>
        <w:rPr>
          <w:rFonts w:ascii="Garamond" w:eastAsia="Times New Roman" w:hAnsi="Garamond" w:cs="Arial"/>
          <w:color w:val="222B33"/>
          <w:sz w:val="24"/>
          <w:szCs w:val="24"/>
        </w:rPr>
      </w:pPr>
      <w:hyperlink r:id="rId5" w:tgtFrame="_blank" w:history="1">
        <w:r w:rsidRPr="00935428">
          <w:rPr>
            <w:rFonts w:ascii="Garamond" w:eastAsia="Times New Roman" w:hAnsi="Garamond" w:cs="Arial"/>
            <w:color w:val="0078BD"/>
            <w:sz w:val="24"/>
            <w:szCs w:val="24"/>
            <w:u w:val="single"/>
          </w:rPr>
          <w:t>How Capability Building Can Power Transformation</w:t>
        </w:r>
      </w:hyperlink>
      <w:r w:rsidRPr="009D69FE">
        <w:rPr>
          <w:rFonts w:ascii="Garamond" w:eastAsia="Times New Roman" w:hAnsi="Garamond" w:cs="Arial"/>
          <w:color w:val="222B33"/>
          <w:sz w:val="24"/>
          <w:szCs w:val="24"/>
        </w:rPr>
        <w:t xml:space="preserve"> </w:t>
      </w:r>
    </w:p>
    <w:p w14:paraId="6023545B" w14:textId="592E16EB" w:rsidR="00935428" w:rsidRPr="009D69FE" w:rsidRDefault="003665EB" w:rsidP="003665EB">
      <w:pPr>
        <w:spacing w:before="100" w:beforeAutospacing="1" w:after="100" w:afterAutospacing="1" w:line="240" w:lineRule="auto"/>
        <w:ind w:left="720"/>
        <w:rPr>
          <w:rFonts w:ascii="Garamond" w:eastAsia="Times New Roman" w:hAnsi="Garamond" w:cs="Arial"/>
          <w:color w:val="222B33"/>
          <w:sz w:val="24"/>
          <w:szCs w:val="24"/>
        </w:rPr>
      </w:pPr>
      <w:r w:rsidRPr="009D69FE">
        <w:rPr>
          <w:rFonts w:ascii="Garamond" w:eastAsia="Times New Roman" w:hAnsi="Garamond" w:cs="Arial"/>
          <w:color w:val="222B33"/>
          <w:sz w:val="24"/>
          <w:szCs w:val="24"/>
        </w:rPr>
        <w:t xml:space="preserve">See link here: </w:t>
      </w:r>
      <w:hyperlink r:id="rId6" w:history="1">
        <w:r w:rsidRPr="009D69FE">
          <w:rPr>
            <w:rStyle w:val="Hyperlink"/>
            <w:rFonts w:ascii="Garamond" w:eastAsia="Times New Roman" w:hAnsi="Garamond" w:cs="Arial"/>
            <w:sz w:val="24"/>
            <w:szCs w:val="24"/>
          </w:rPr>
          <w:t>https://www.mckinsey.com/business-functions/transformation/our-insights/how-capability-building-can-power-transformatio</w:t>
        </w:r>
        <w:r w:rsidRPr="009D69FE">
          <w:rPr>
            <w:rStyle w:val="Hyperlink"/>
            <w:rFonts w:ascii="Garamond" w:eastAsia="Times New Roman" w:hAnsi="Garamond" w:cs="Arial"/>
            <w:sz w:val="24"/>
            <w:szCs w:val="24"/>
          </w:rPr>
          <w:t>n</w:t>
        </w:r>
      </w:hyperlink>
    </w:p>
    <w:p w14:paraId="4D08A662" w14:textId="77777777" w:rsidR="00935428" w:rsidRPr="00935428" w:rsidRDefault="00935428" w:rsidP="00935428">
      <w:pPr>
        <w:spacing w:before="100" w:beforeAutospacing="1" w:after="100" w:afterAutospacing="1" w:line="240" w:lineRule="auto"/>
        <w:rPr>
          <w:rFonts w:ascii="Garamond" w:eastAsia="Times New Roman" w:hAnsi="Garamond" w:cs="Arial"/>
          <w:color w:val="222B33"/>
          <w:sz w:val="24"/>
          <w:szCs w:val="24"/>
        </w:rPr>
      </w:pPr>
    </w:p>
    <w:p w14:paraId="3311BECE" w14:textId="77777777" w:rsidR="003665EB" w:rsidRPr="009D69FE" w:rsidRDefault="00935428" w:rsidP="00935428">
      <w:pPr>
        <w:numPr>
          <w:ilvl w:val="0"/>
          <w:numId w:val="6"/>
        </w:numPr>
        <w:spacing w:before="100" w:beforeAutospacing="1" w:after="100" w:afterAutospacing="1" w:line="240" w:lineRule="auto"/>
        <w:rPr>
          <w:rFonts w:ascii="Garamond" w:eastAsia="Times New Roman" w:hAnsi="Garamond" w:cs="Arial"/>
          <w:color w:val="222B33"/>
          <w:sz w:val="24"/>
          <w:szCs w:val="24"/>
        </w:rPr>
      </w:pPr>
      <w:hyperlink r:id="rId7" w:tgtFrame="_blank" w:history="1">
        <w:r w:rsidRPr="00935428">
          <w:rPr>
            <w:rFonts w:ascii="Garamond" w:eastAsia="Times New Roman" w:hAnsi="Garamond" w:cs="Arial"/>
            <w:color w:val="0078BD"/>
            <w:sz w:val="24"/>
            <w:szCs w:val="24"/>
            <w:u w:val="single"/>
          </w:rPr>
          <w:t>Translating the HR Digital Revolution to Everyday Work</w:t>
        </w:r>
      </w:hyperlink>
      <w:r w:rsidRPr="009D69FE">
        <w:rPr>
          <w:rFonts w:ascii="Garamond" w:eastAsia="Times New Roman" w:hAnsi="Garamond" w:cs="Arial"/>
          <w:color w:val="222B33"/>
          <w:sz w:val="24"/>
          <w:szCs w:val="24"/>
        </w:rPr>
        <w:t xml:space="preserve"> </w:t>
      </w:r>
      <w:r w:rsidRPr="009D69FE">
        <w:rPr>
          <w:rFonts w:ascii="Garamond" w:eastAsia="Times New Roman" w:hAnsi="Garamond" w:cs="Arial"/>
          <w:color w:val="222B33"/>
          <w:sz w:val="24"/>
          <w:szCs w:val="24"/>
        </w:rPr>
        <w:br/>
      </w:r>
    </w:p>
    <w:p w14:paraId="1FFF29A4" w14:textId="5064156C" w:rsidR="003665EB" w:rsidRPr="009D69FE" w:rsidRDefault="003665EB" w:rsidP="009D69FE">
      <w:pPr>
        <w:numPr>
          <w:ilvl w:val="0"/>
          <w:numId w:val="6"/>
        </w:numPr>
        <w:spacing w:before="100" w:beforeAutospacing="1" w:after="100" w:afterAutospacing="1" w:line="240" w:lineRule="auto"/>
        <w:rPr>
          <w:rFonts w:ascii="Garamond" w:eastAsia="Times New Roman" w:hAnsi="Garamond" w:cs="Arial"/>
          <w:color w:val="222B33"/>
          <w:sz w:val="24"/>
          <w:szCs w:val="24"/>
        </w:rPr>
      </w:pPr>
      <w:r w:rsidRPr="009D69FE">
        <w:rPr>
          <w:rFonts w:ascii="Garamond" w:eastAsia="Times New Roman" w:hAnsi="Garamond" w:cs="Arial"/>
          <w:color w:val="222B33"/>
          <w:sz w:val="24"/>
          <w:szCs w:val="24"/>
        </w:rPr>
        <w:t xml:space="preserve">See link here: </w:t>
      </w:r>
      <w:hyperlink r:id="rId8" w:history="1">
        <w:r w:rsidRPr="009D69FE">
          <w:rPr>
            <w:rStyle w:val="Hyperlink"/>
            <w:rFonts w:ascii="Garamond" w:eastAsia="Times New Roman" w:hAnsi="Garamond" w:cs="Arial"/>
            <w:sz w:val="24"/>
            <w:szCs w:val="24"/>
          </w:rPr>
          <w:t>https://www.shrm.org/hr-today/trends-and-forecasting/special-reports-and-expert-views/pages/translating_the_hr_digital_revolution_to_everyday_work.asp</w:t>
        </w:r>
        <w:r w:rsidRPr="009D69FE">
          <w:rPr>
            <w:rStyle w:val="Hyperlink"/>
            <w:rFonts w:ascii="Garamond" w:eastAsia="Times New Roman" w:hAnsi="Garamond" w:cs="Arial"/>
            <w:sz w:val="24"/>
            <w:szCs w:val="24"/>
          </w:rPr>
          <w:t>x</w:t>
        </w:r>
      </w:hyperlink>
      <w:r w:rsidR="009D69FE" w:rsidRPr="009D69FE">
        <w:rPr>
          <w:rFonts w:ascii="Garamond" w:eastAsia="Times New Roman" w:hAnsi="Garamond" w:cs="Arial"/>
          <w:color w:val="222B33"/>
          <w:sz w:val="24"/>
          <w:szCs w:val="24"/>
        </w:rPr>
        <w:br/>
      </w:r>
    </w:p>
    <w:p w14:paraId="44F492B1" w14:textId="22D95C88" w:rsidR="00935428" w:rsidRPr="00935428" w:rsidRDefault="00935428" w:rsidP="00935428">
      <w:pPr>
        <w:numPr>
          <w:ilvl w:val="0"/>
          <w:numId w:val="6"/>
        </w:numPr>
        <w:spacing w:before="100" w:beforeAutospacing="1" w:after="100" w:afterAutospacing="1" w:line="240" w:lineRule="auto"/>
        <w:rPr>
          <w:rFonts w:ascii="Garamond" w:eastAsia="Times New Roman" w:hAnsi="Garamond" w:cs="Arial"/>
          <w:color w:val="222B33"/>
          <w:sz w:val="24"/>
          <w:szCs w:val="24"/>
        </w:rPr>
      </w:pPr>
      <w:r w:rsidRPr="00935428">
        <w:rPr>
          <w:rFonts w:ascii="Garamond" w:eastAsia="Times New Roman" w:hAnsi="Garamond" w:cs="Arial"/>
          <w:b/>
          <w:bCs/>
          <w:color w:val="222B33"/>
          <w:sz w:val="24"/>
          <w:szCs w:val="24"/>
        </w:rPr>
        <w:t>Ch 5</w:t>
      </w:r>
      <w:r w:rsidRPr="00935428">
        <w:rPr>
          <w:rFonts w:ascii="Garamond" w:eastAsia="Times New Roman" w:hAnsi="Garamond" w:cs="Arial"/>
          <w:color w:val="222B33"/>
          <w:sz w:val="24"/>
          <w:szCs w:val="24"/>
        </w:rPr>
        <w:t xml:space="preserve"> - </w:t>
      </w:r>
      <w:hyperlink r:id="rId9" w:tgtFrame="_blank" w:history="1">
        <w:r w:rsidRPr="00935428">
          <w:rPr>
            <w:rFonts w:ascii="Garamond" w:eastAsia="Times New Roman" w:hAnsi="Garamond" w:cs="Arial"/>
            <w:color w:val="0078BD"/>
            <w:sz w:val="24"/>
            <w:szCs w:val="24"/>
            <w:u w:val="single"/>
          </w:rPr>
          <w:t>Human-Centred Artificial Intelligence for Human Resources: A Toolkit for Human Resources Professionals</w:t>
        </w:r>
      </w:hyperlink>
    </w:p>
    <w:p w14:paraId="134BB78A" w14:textId="77777777" w:rsidR="001A06EC" w:rsidRPr="009D69FE" w:rsidRDefault="001A06EC">
      <w:pPr>
        <w:rPr>
          <w:rFonts w:ascii="Garamond" w:hAnsi="Garamond"/>
          <w:sz w:val="24"/>
          <w:szCs w:val="24"/>
        </w:rPr>
      </w:pPr>
    </w:p>
    <w:sectPr w:rsidR="001A06EC" w:rsidRPr="009D69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51CD8"/>
    <w:multiLevelType w:val="multilevel"/>
    <w:tmpl w:val="8DC4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084DA4"/>
    <w:multiLevelType w:val="multilevel"/>
    <w:tmpl w:val="B584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54688"/>
    <w:multiLevelType w:val="multilevel"/>
    <w:tmpl w:val="48F8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477FAC"/>
    <w:multiLevelType w:val="multilevel"/>
    <w:tmpl w:val="8098D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D47F45"/>
    <w:multiLevelType w:val="multilevel"/>
    <w:tmpl w:val="BABA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0182E"/>
    <w:multiLevelType w:val="multilevel"/>
    <w:tmpl w:val="C9D68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2DB"/>
    <w:rsid w:val="001A06EC"/>
    <w:rsid w:val="003665EB"/>
    <w:rsid w:val="00935428"/>
    <w:rsid w:val="009D69FE"/>
    <w:rsid w:val="00CC0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2E303"/>
  <w15:chartTrackingRefBased/>
  <w15:docId w15:val="{0025A7B2-48C4-462C-9113-499BBE719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93542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35428"/>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3542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428"/>
    <w:rPr>
      <w:color w:val="0000FF"/>
      <w:u w:val="single"/>
    </w:rPr>
  </w:style>
  <w:style w:type="character" w:styleId="Strong">
    <w:name w:val="Strong"/>
    <w:basedOn w:val="DefaultParagraphFont"/>
    <w:uiPriority w:val="22"/>
    <w:qFormat/>
    <w:rsid w:val="00935428"/>
    <w:rPr>
      <w:b/>
      <w:bCs/>
    </w:rPr>
  </w:style>
  <w:style w:type="character" w:styleId="UnresolvedMention">
    <w:name w:val="Unresolved Mention"/>
    <w:basedOn w:val="DefaultParagraphFont"/>
    <w:uiPriority w:val="99"/>
    <w:semiHidden/>
    <w:unhideWhenUsed/>
    <w:rsid w:val="00935428"/>
    <w:rPr>
      <w:color w:val="605E5C"/>
      <w:shd w:val="clear" w:color="auto" w:fill="E1DFDD"/>
    </w:rPr>
  </w:style>
  <w:style w:type="paragraph" w:styleId="ListParagraph">
    <w:name w:val="List Paragraph"/>
    <w:basedOn w:val="Normal"/>
    <w:uiPriority w:val="34"/>
    <w:qFormat/>
    <w:rsid w:val="009354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281420">
      <w:bodyDiv w:val="1"/>
      <w:marLeft w:val="0"/>
      <w:marRight w:val="0"/>
      <w:marTop w:val="0"/>
      <w:marBottom w:val="0"/>
      <w:divBdr>
        <w:top w:val="none" w:sz="0" w:space="0" w:color="auto"/>
        <w:left w:val="none" w:sz="0" w:space="0" w:color="auto"/>
        <w:bottom w:val="none" w:sz="0" w:space="0" w:color="auto"/>
        <w:right w:val="none" w:sz="0" w:space="0" w:color="auto"/>
      </w:divBdr>
    </w:div>
    <w:div w:id="83750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rm.org/hr-today/trends-and-forecasting/special-reports-and-expert-views/pages/translating_the_hr_digital_revolution_to_everyday_work.aspx" TargetMode="External"/><Relationship Id="rId3" Type="http://schemas.openxmlformats.org/officeDocument/2006/relationships/settings" Target="settings.xml"/><Relationship Id="rId7" Type="http://schemas.openxmlformats.org/officeDocument/2006/relationships/hyperlink" Target="https://www.shrm.org/hr-today/trends-and-forecasting/special-reports-and-expert-views/pages/translating_the_hr_digital_revolution_to_everyday_work.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ckinsey.com/business-functions/transformation/our-insights/how-capability-building-can-power-transformation" TargetMode="External"/><Relationship Id="rId11" Type="http://schemas.openxmlformats.org/officeDocument/2006/relationships/theme" Target="theme/theme1.xml"/><Relationship Id="rId5" Type="http://schemas.openxmlformats.org/officeDocument/2006/relationships/hyperlink" Target="https://www.mckinsey.com/business-functions/transformation/our-insights/how-capability-building-can-power-transforma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ourses.worldcampus.psu.edu/canvas/sp22/22211--29456/common/corefiles/WEF_Human_Centred_Artificial_Intelligence_for_Human_Resources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Mehra, Rohit</dc:creator>
  <cp:keywords/>
  <dc:description/>
  <cp:lastModifiedBy>Mehra, Rohit</cp:lastModifiedBy>
  <cp:revision>3</cp:revision>
  <dcterms:created xsi:type="dcterms:W3CDTF">2022-03-07T18:07:00Z</dcterms:created>
  <dcterms:modified xsi:type="dcterms:W3CDTF">2022-03-07T18:17:00Z</dcterms:modified>
</cp:coreProperties>
</file>