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02144" w:rsidR="00C456F3" w:rsidP="00D02144" w:rsidRDefault="00C456F3" w14:paraId="672A6659" wp14:textId="77777777">
      <w:pPr>
        <w:tabs>
          <w:tab w:val="left" w:pos="6375"/>
        </w:tabs>
        <w:spacing w:line="480" w:lineRule="auto"/>
        <w:contextualSpacing/>
        <w:jc w:val="center"/>
      </w:pPr>
    </w:p>
    <w:p xmlns:wp14="http://schemas.microsoft.com/office/word/2010/wordml" w:rsidRPr="00D02144" w:rsidR="00C456F3" w:rsidP="00D02144" w:rsidRDefault="00C456F3" w14:paraId="0A37501D" wp14:textId="77777777">
      <w:pPr>
        <w:tabs>
          <w:tab w:val="left" w:pos="6375"/>
        </w:tabs>
        <w:spacing w:line="480" w:lineRule="auto"/>
        <w:contextualSpacing/>
        <w:jc w:val="center"/>
      </w:pPr>
    </w:p>
    <w:p xmlns:wp14="http://schemas.microsoft.com/office/word/2010/wordml" w:rsidRPr="00D02144" w:rsidR="00C456F3" w:rsidP="00D02144" w:rsidRDefault="00C456F3" w14:paraId="5DAB6C7B" wp14:textId="77777777">
      <w:pPr>
        <w:tabs>
          <w:tab w:val="left" w:pos="6375"/>
        </w:tabs>
        <w:spacing w:line="480" w:lineRule="auto"/>
        <w:contextualSpacing/>
        <w:jc w:val="center"/>
      </w:pPr>
    </w:p>
    <w:p xmlns:wp14="http://schemas.microsoft.com/office/word/2010/wordml" w:rsidRPr="00D02144" w:rsidR="00C456F3" w:rsidP="00D02144" w:rsidRDefault="00C456F3" w14:paraId="02EB378F" wp14:textId="77777777">
      <w:pPr>
        <w:tabs>
          <w:tab w:val="left" w:pos="6375"/>
        </w:tabs>
        <w:spacing w:line="480" w:lineRule="auto"/>
        <w:contextualSpacing/>
        <w:jc w:val="center"/>
      </w:pPr>
    </w:p>
    <w:p xmlns:wp14="http://schemas.microsoft.com/office/word/2010/wordml" w:rsidRPr="00D02144" w:rsidR="00001056" w:rsidP="00D02144" w:rsidRDefault="00B22449" w14:paraId="015A6AE4" wp14:textId="77777777">
      <w:pPr>
        <w:spacing w:line="480" w:lineRule="auto"/>
        <w:ind w:firstLine="720"/>
        <w:contextualSpacing/>
        <w:jc w:val="center"/>
      </w:pPr>
      <w:r w:rsidRPr="00B22449">
        <w:rPr>
          <w:b/>
          <w:color w:val="000000"/>
        </w:rPr>
        <w:t>Policy Proposal And Practice Guidelines</w:t>
      </w:r>
    </w:p>
    <w:p xmlns:wp14="http://schemas.microsoft.com/office/word/2010/wordml" w:rsidR="00460F06" w:rsidP="00786253" w:rsidRDefault="00786253" w14:paraId="6A05A809" wp14:textId="77777777">
      <w:pPr>
        <w:tabs>
          <w:tab w:val="left" w:pos="5700"/>
        </w:tabs>
        <w:spacing w:line="480" w:lineRule="auto"/>
        <w:contextualSpacing/>
      </w:pPr>
      <w:r>
        <w:tab/>
      </w:r>
    </w:p>
    <w:p xmlns:wp14="http://schemas.microsoft.com/office/word/2010/wordml" w:rsidRPr="00D02144" w:rsidR="00B22449" w:rsidP="00786253" w:rsidRDefault="00B22449" w14:paraId="5A39BBE3" wp14:textId="77777777">
      <w:pPr>
        <w:tabs>
          <w:tab w:val="left" w:pos="5700"/>
        </w:tabs>
        <w:spacing w:line="480" w:lineRule="auto"/>
        <w:contextualSpacing/>
      </w:pPr>
    </w:p>
    <w:p xmlns:wp14="http://schemas.microsoft.com/office/word/2010/wordml" w:rsidRPr="00D02144" w:rsidR="00C456F3" w:rsidP="00D02144" w:rsidRDefault="00C456F3" w14:paraId="41C8F396" wp14:textId="77777777">
      <w:pPr>
        <w:spacing w:line="480" w:lineRule="auto"/>
        <w:contextualSpacing/>
      </w:pPr>
    </w:p>
    <w:p xmlns:wp14="http://schemas.microsoft.com/office/word/2010/wordml" w:rsidRPr="00D02144" w:rsidR="00BB6B40" w:rsidP="00D02144" w:rsidRDefault="0040475F" w14:paraId="0D909AED" wp14:textId="0587BDEB">
      <w:pPr>
        <w:spacing w:line="480" w:lineRule="auto"/>
        <w:contextualSpacing/>
        <w:jc w:val="center"/>
      </w:pPr>
      <w:r w:rsidR="0B7F4EB8">
        <w:rPr/>
        <w:t>Lakeesha Smith</w:t>
      </w:r>
    </w:p>
    <w:p xmlns:wp14="http://schemas.microsoft.com/office/word/2010/wordml" w:rsidRPr="00D02144" w:rsidR="00BB6B40" w:rsidP="00D02144" w:rsidRDefault="0040475F" w14:paraId="59C118FC" wp14:textId="44C7A413">
      <w:pPr>
        <w:spacing w:line="480" w:lineRule="auto"/>
        <w:contextualSpacing/>
        <w:jc w:val="center"/>
      </w:pPr>
      <w:r w:rsidR="0B7F4EB8">
        <w:rPr/>
        <w:t xml:space="preserve">Capella University </w:t>
      </w:r>
    </w:p>
    <w:p xmlns:wp14="http://schemas.microsoft.com/office/word/2010/wordml" w:rsidRPr="00D02144" w:rsidR="00BB6B40" w:rsidP="00D02144" w:rsidRDefault="0040475F" w14:paraId="36E5840A" wp14:textId="769EC25F">
      <w:pPr>
        <w:spacing w:line="480" w:lineRule="auto"/>
        <w:contextualSpacing/>
        <w:jc w:val="center"/>
      </w:pPr>
      <w:r w:rsidR="0B7F4EB8">
        <w:rPr/>
        <w:t>NURS-FPX6004</w:t>
      </w:r>
    </w:p>
    <w:p xmlns:wp14="http://schemas.microsoft.com/office/word/2010/wordml" w:rsidRPr="00D02144" w:rsidR="00BB6B40" w:rsidP="00D02144" w:rsidRDefault="0040475F" w14:paraId="56434CD1" wp14:textId="17F0FC38">
      <w:pPr>
        <w:spacing w:line="480" w:lineRule="auto"/>
        <w:contextualSpacing/>
        <w:jc w:val="center"/>
      </w:pPr>
      <w:r w:rsidR="0B7F4EB8">
        <w:rPr/>
        <w:t>Tangela Hales</w:t>
      </w:r>
    </w:p>
    <w:p xmlns:wp14="http://schemas.microsoft.com/office/word/2010/wordml" w:rsidRPr="00D02144" w:rsidR="00B1377D" w:rsidP="00D02144" w:rsidRDefault="0040475F" w14:paraId="491072FA" wp14:textId="0383D433">
      <w:pPr>
        <w:spacing w:line="480" w:lineRule="auto"/>
        <w:contextualSpacing/>
        <w:jc w:val="center"/>
      </w:pPr>
      <w:r w:rsidR="0B7F4EB8">
        <w:rPr/>
        <w:t>February 21, 2022</w:t>
      </w:r>
    </w:p>
    <w:p xmlns:wp14="http://schemas.microsoft.com/office/word/2010/wordml" w:rsidRPr="00D02144" w:rsidR="00B1377D" w:rsidP="00D02144" w:rsidRDefault="00B1377D" w14:paraId="72A3D3EC" wp14:textId="77777777">
      <w:pPr>
        <w:spacing w:line="480" w:lineRule="auto"/>
        <w:ind w:firstLine="720"/>
        <w:contextualSpacing/>
        <w:jc w:val="center"/>
      </w:pPr>
    </w:p>
    <w:p xmlns:wp14="http://schemas.microsoft.com/office/word/2010/wordml" w:rsidRPr="00D02144" w:rsidR="0022281C" w:rsidP="00D02144" w:rsidRDefault="0022281C" w14:paraId="0D0B940D" wp14:textId="77777777">
      <w:pPr>
        <w:spacing w:line="480" w:lineRule="auto"/>
        <w:ind w:firstLine="720"/>
        <w:contextualSpacing/>
        <w:jc w:val="center"/>
      </w:pPr>
    </w:p>
    <w:p xmlns:wp14="http://schemas.microsoft.com/office/word/2010/wordml" w:rsidRPr="00D02144" w:rsidR="0022281C" w:rsidP="00D02144" w:rsidRDefault="0022281C" w14:paraId="0E27B00A" wp14:textId="77777777">
      <w:pPr>
        <w:spacing w:line="480" w:lineRule="auto"/>
        <w:ind w:firstLine="720"/>
        <w:contextualSpacing/>
        <w:jc w:val="center"/>
      </w:pPr>
    </w:p>
    <w:p xmlns:wp14="http://schemas.microsoft.com/office/word/2010/wordml" w:rsidRPr="00D02144" w:rsidR="0022281C" w:rsidP="00D02144" w:rsidRDefault="0022281C" w14:paraId="60061E4C" wp14:textId="77777777">
      <w:pPr>
        <w:spacing w:line="480" w:lineRule="auto"/>
        <w:ind w:firstLine="720"/>
        <w:contextualSpacing/>
        <w:jc w:val="center"/>
      </w:pPr>
    </w:p>
    <w:p xmlns:wp14="http://schemas.microsoft.com/office/word/2010/wordml" w:rsidRPr="00D02144" w:rsidR="0022281C" w:rsidP="00D02144" w:rsidRDefault="0022281C" w14:paraId="44EAFD9C" wp14:textId="77777777">
      <w:pPr>
        <w:spacing w:line="480" w:lineRule="auto"/>
        <w:ind w:firstLine="720"/>
        <w:contextualSpacing/>
        <w:jc w:val="center"/>
      </w:pPr>
    </w:p>
    <w:p xmlns:wp14="http://schemas.microsoft.com/office/word/2010/wordml" w:rsidRPr="00D02144" w:rsidR="0022281C" w:rsidP="00D02144" w:rsidRDefault="0022281C" w14:paraId="4B94D5A5" wp14:textId="77777777">
      <w:pPr>
        <w:spacing w:line="480" w:lineRule="auto"/>
        <w:ind w:firstLine="720"/>
        <w:contextualSpacing/>
        <w:jc w:val="center"/>
      </w:pPr>
    </w:p>
    <w:p xmlns:wp14="http://schemas.microsoft.com/office/word/2010/wordml" w:rsidRPr="00D02144" w:rsidR="0022281C" w:rsidP="00D02144" w:rsidRDefault="0022281C" w14:paraId="3DEEC669" wp14:textId="77777777">
      <w:pPr>
        <w:spacing w:line="480" w:lineRule="auto"/>
        <w:ind w:firstLine="720"/>
        <w:contextualSpacing/>
        <w:jc w:val="center"/>
      </w:pPr>
    </w:p>
    <w:p xmlns:wp14="http://schemas.microsoft.com/office/word/2010/wordml" w:rsidRPr="00D02144" w:rsidR="0022281C" w:rsidP="00D02144" w:rsidRDefault="0022281C" w14:paraId="3656B9AB" wp14:textId="77777777">
      <w:pPr>
        <w:spacing w:line="480" w:lineRule="auto"/>
        <w:ind w:firstLine="720"/>
        <w:contextualSpacing/>
        <w:jc w:val="center"/>
      </w:pPr>
    </w:p>
    <w:p xmlns:wp14="http://schemas.microsoft.com/office/word/2010/wordml" w:rsidRPr="00D02144" w:rsidR="00B53EFF" w:rsidP="00D02144" w:rsidRDefault="00B53EFF" w14:paraId="45FB0818" wp14:textId="77777777">
      <w:pPr>
        <w:spacing w:line="480" w:lineRule="auto"/>
        <w:ind w:firstLine="720"/>
        <w:contextualSpacing/>
        <w:jc w:val="center"/>
      </w:pPr>
    </w:p>
    <w:p xmlns:wp14="http://schemas.microsoft.com/office/word/2010/wordml" w:rsidRPr="00D02144" w:rsidR="00460F06" w:rsidP="00D02144" w:rsidRDefault="00460F06" w14:paraId="049F31CB" wp14:textId="77777777">
      <w:pPr>
        <w:spacing w:line="480" w:lineRule="auto"/>
        <w:ind w:firstLine="720"/>
        <w:contextualSpacing/>
        <w:jc w:val="center"/>
      </w:pPr>
    </w:p>
    <w:p xmlns:wp14="http://schemas.microsoft.com/office/word/2010/wordml" w:rsidR="00001056" w:rsidP="00D02144" w:rsidRDefault="00B22449" w14:paraId="10F148F0" wp14:textId="77777777">
      <w:pPr>
        <w:spacing w:line="480" w:lineRule="auto"/>
        <w:ind w:left="720" w:hanging="720"/>
        <w:contextualSpacing/>
        <w:jc w:val="center"/>
        <w:rPr>
          <w:b/>
          <w:color w:val="000000"/>
        </w:rPr>
      </w:pPr>
      <w:r w:rsidRPr="00B22449">
        <w:rPr>
          <w:b/>
          <w:color w:val="000000"/>
        </w:rPr>
        <w:t>Policy Proposal And Practice Guidelines</w:t>
      </w:r>
    </w:p>
    <w:p xmlns:wp14="http://schemas.microsoft.com/office/word/2010/wordml" w:rsidR="00871E52" w:rsidP="00871E52" w:rsidRDefault="00B86255" w14:paraId="65BA9611" wp14:textId="77777777">
      <w:pPr>
        <w:spacing w:line="480" w:lineRule="auto"/>
        <w:ind w:firstLine="720"/>
        <w:contextualSpacing/>
      </w:pPr>
      <w:r w:rsidRPr="00B86255">
        <w:t xml:space="preserve">Hospital readmission increases operating expenses making it too costly. Many of the readmission rates are preventable, such as pneumonia and heart conditions. The readmission rates fall, and medication errors are attributed to the quality of care at the hospital. Therefore, quality improvement intervention is required to reduce the readmission rates. A systematic framework is required to improve patient care delivery within Mercy Medical Center. In order to achieve zero harm, interventions must include a process that can be measured, analyzed, controlled, and improved. Mercy Medical is committed to patient safety and excellence. At the quality improvement meeting, Mercy Medical identified areas the organization is struggling to meet standards </w:t>
      </w:r>
      <w:proofErr w:type="spellStart"/>
      <w:r w:rsidRPr="00B86255">
        <w:t>fr</w:t>
      </w:r>
      <w:proofErr w:type="spellEnd"/>
      <w:r w:rsidRPr="00B86255">
        <w:t xml:space="preserve"> readmission rates. The facility standards were lower on dashboard metrics on medication errors, falls, and readmission rates. The hospital leadership team established intervention policies and procedures to improve the quality of care and patient safety through evidence-based (EBP) strategies to address medication errors, falls, and readmission rates.</w:t>
      </w:r>
    </w:p>
    <w:p xmlns:wp14="http://schemas.microsoft.com/office/word/2010/wordml" w:rsidRPr="00871E52" w:rsidR="00871E52" w:rsidP="00871E52" w:rsidRDefault="00871E52" w14:paraId="4639A713" wp14:textId="77777777">
      <w:pPr>
        <w:spacing w:line="480" w:lineRule="auto"/>
        <w:contextualSpacing/>
        <w:jc w:val="center"/>
        <w:rPr>
          <w:b/>
        </w:rPr>
      </w:pPr>
      <w:r w:rsidRPr="00871E52">
        <w:rPr>
          <w:b/>
        </w:rPr>
        <w:t>Proposed Policy Guidelines</w:t>
      </w:r>
    </w:p>
    <w:p xmlns:wp14="http://schemas.microsoft.com/office/word/2010/wordml" w:rsidR="00871E52" w:rsidP="00871E52" w:rsidRDefault="00871E52" w14:paraId="3400E0B0" wp14:textId="77777777">
      <w:pPr>
        <w:spacing w:line="480" w:lineRule="auto"/>
        <w:ind w:firstLine="720"/>
        <w:contextualSpacing/>
      </w:pPr>
      <w:r>
        <w:t>Readmission occurs when a patent previously discharged returns to an acute care facility within a stipulated period. The readmission period is mostly within 30-days after hospital discharge (Henderson, 2013). The hospital benchmark percentage is at 16%, which is significantly higher than the expected level of 12%. The benchmark underperformance is on readmission rates of patients who experience pneumonia and myocardial infarction. An increase in readmission rates in the two medical conditions could be due to poor healthcare outcomes, increasing the score of mortality rates of the hospital. Preventable readmission damages the reputation and reduces the patient influx. Therefore, the new policy changes to improve overall outcomes of the benchmark metrics of readmission rates</w:t>
      </w:r>
      <w:r w:rsidR="0079170C">
        <w:t>, reduce falls, and medical errors</w:t>
      </w:r>
      <w:r>
        <w:t xml:space="preserve"> are highly imperative. </w:t>
      </w:r>
    </w:p>
    <w:p xmlns:wp14="http://schemas.microsoft.com/office/word/2010/wordml" w:rsidR="00871E52" w:rsidP="00871E52" w:rsidRDefault="00871E52" w14:paraId="6FB8877A" wp14:textId="77777777">
      <w:pPr>
        <w:spacing w:line="480" w:lineRule="auto"/>
        <w:ind w:firstLine="720"/>
        <w:contextualSpacing/>
      </w:pPr>
      <w:r>
        <w:t xml:space="preserve"> The hospital needs to address the situation using Evidence-Based Practice (EBP), using the best available strategies. One key strategy to improve readmission rates </w:t>
      </w:r>
      <w:r w:rsidR="0079170C">
        <w:t xml:space="preserve">and reduce medical errors </w:t>
      </w:r>
      <w:r>
        <w:t xml:space="preserve">is effective communication among healthcare providers, especially nurses and physicians. Effective communication is imperative among coordinating providers during the transition of care (Jiang et al., 2016). Effective communication ensures a smooth collaborative approach between patients and healthcare providers, increasingly motivating their efforts towards patient care. Providers are expected to create a good rapport with their patients, improving their confidence to open </w:t>
      </w:r>
      <w:r w:rsidR="0079170C">
        <w:t xml:space="preserve">up and share their experiences. </w:t>
      </w:r>
      <w:r>
        <w:t>Patient engagement is the key to improving their outcome and reducing readmission rates.</w:t>
      </w:r>
      <w:r w:rsidRPr="0079170C" w:rsidR="0079170C">
        <w:t xml:space="preserve"> </w:t>
      </w:r>
      <w:r w:rsidR="0079170C">
        <w:t>Using u</w:t>
      </w:r>
      <w:r w:rsidRPr="0079170C" w:rsidR="0079170C">
        <w:t>niversal fall precautions</w:t>
      </w:r>
      <w:r w:rsidR="0079170C">
        <w:t xml:space="preserve">, which apply to all patients can help the healthcare reduce falls. This interventions helps ensure the patient are </w:t>
      </w:r>
      <w:proofErr w:type="spellStart"/>
      <w:r w:rsidR="0079170C">
        <w:t>farmilier</w:t>
      </w:r>
      <w:proofErr w:type="spellEnd"/>
      <w:r w:rsidR="0079170C">
        <w:t xml:space="preserve"> with </w:t>
      </w:r>
      <w:proofErr w:type="spellStart"/>
      <w:r w:rsidR="0079170C">
        <w:t>environement</w:t>
      </w:r>
      <w:proofErr w:type="spellEnd"/>
      <w:r w:rsidR="0079170C">
        <w:t xml:space="preserve">, how to use call light, and is within reach, keep </w:t>
      </w:r>
      <w:r w:rsidRPr="0079170C" w:rsidR="0079170C">
        <w:t xml:space="preserve">possessions </w:t>
      </w:r>
      <w:r w:rsidR="0079170C">
        <w:t xml:space="preserve">close, and installing </w:t>
      </w:r>
      <w:r w:rsidRPr="0079170C" w:rsidR="0079170C">
        <w:t>handrails</w:t>
      </w:r>
      <w:r w:rsidR="0079170C">
        <w:t>, among others.</w:t>
      </w:r>
    </w:p>
    <w:p xmlns:wp14="http://schemas.microsoft.com/office/word/2010/wordml" w:rsidR="000D3483" w:rsidP="00871E52" w:rsidRDefault="00871E52" w14:paraId="2DCA7D7D" wp14:textId="77777777">
      <w:pPr>
        <w:spacing w:line="480" w:lineRule="auto"/>
        <w:ind w:firstLine="720"/>
        <w:contextualSpacing/>
      </w:pPr>
      <w:r>
        <w:t>Apart from enhanced communication skills in care, Mercy Medical needs to improve its discharge planning. Preventing readmission requires adequate patient education, ensuring they understand the consequences of their actions for not following the discharge plan. Patient education ensures compliment collaborative efforts and promotes self-management after discharge. Moreover, healthcare providers need a follow-up strategy to ensure patients adherences to the discharge plan. Research suggests that follow-up strategies reduce readmission rates, particularly by promoting patients' compliance to self-management and medication discharge plans (Brook et al., 2014). Implementation of the three policies on discharge</w:t>
      </w:r>
      <w:r w:rsidR="00AE0588">
        <w:t xml:space="preserve">, medication errors, and falls </w:t>
      </w:r>
      <w:r>
        <w:t>will improve benchmark performance and Mercy Medical compliance to local, state, and federal standards and policies</w:t>
      </w:r>
      <w:r w:rsidR="00F50110">
        <w:t>.</w:t>
      </w:r>
    </w:p>
    <w:p xmlns:wp14="http://schemas.microsoft.com/office/word/2010/wordml" w:rsidRPr="00E24A60" w:rsidR="00E24A60" w:rsidP="00E24A60" w:rsidRDefault="00E24A60" w14:paraId="1DC7A5E2" wp14:textId="77777777">
      <w:pPr>
        <w:spacing w:line="480" w:lineRule="auto"/>
        <w:contextualSpacing/>
        <w:jc w:val="center"/>
        <w:rPr>
          <w:b/>
        </w:rPr>
      </w:pPr>
      <w:r w:rsidRPr="00E24A60">
        <w:rPr>
          <w:b/>
        </w:rPr>
        <w:t>Ethical</w:t>
      </w:r>
      <w:r>
        <w:rPr>
          <w:b/>
        </w:rPr>
        <w:t xml:space="preserve"> and </w:t>
      </w:r>
      <w:r w:rsidRPr="00E24A60">
        <w:rPr>
          <w:b/>
        </w:rPr>
        <w:t>Evidence-based Guidelines</w:t>
      </w:r>
    </w:p>
    <w:p xmlns:wp14="http://schemas.microsoft.com/office/word/2010/wordml" w:rsidR="00A049E5" w:rsidP="00A049E5" w:rsidRDefault="00A049E5" w14:paraId="7243D560" wp14:textId="77777777">
      <w:pPr>
        <w:spacing w:line="480" w:lineRule="auto"/>
        <w:ind w:firstLine="720"/>
        <w:contextualSpacing/>
      </w:pPr>
      <w:r>
        <w:t>Collaborative efforts after discharge can help improve patient outcomes. Involving an interprofessional team in follow-up for patients with myocardial infarction can reduce readmission rates. Nurses can educate the patient before discharge in collaboration with the pharmacist and physicians (</w:t>
      </w:r>
      <w:proofErr w:type="spellStart"/>
      <w:r>
        <w:t>Gopee</w:t>
      </w:r>
      <w:proofErr w:type="spellEnd"/>
      <w:r>
        <w:t xml:space="preserve"> &amp; Galloway, 2017). Follow-up after discharge can be tasked to the nurse through Telehealth technology or social workers for in-house calls. This approach requires several modifiable factors to target myocardial infarction and pneumonia interventions. As stated earlier, discharge planning and adherence plan are modifiable factors associated with increasing readmission rates. While early discharge and poor quality of care are modifiable factors associated with physician's poor decisions. Therefore, a variance of practice by providers and fragmentation of care has a profound impact that leads to high readmission rates (de Alba &amp; Amin, 2014).</w:t>
      </w:r>
    </w:p>
    <w:p xmlns:wp14="http://schemas.microsoft.com/office/word/2010/wordml" w:rsidR="00E51FC6" w:rsidP="00A049E5" w:rsidRDefault="00A049E5" w14:paraId="7D4B7C5E" wp14:textId="77777777">
      <w:pPr>
        <w:spacing w:line="480" w:lineRule="auto"/>
        <w:ind w:firstLine="720"/>
        <w:contextualSpacing/>
      </w:pPr>
      <w:r>
        <w:t>The EBP on readmission suggests the use of the transmission process and discharge planning, care coordination, and improving transition through support and education for patient self-care. According to IHI (the Institute for Health and Improvement), SMART discharge protocol can improve care and the discharge process. SMART (Signs, Medications, Appointments, Results, and Talk with me) discharge protocols recommend using a checklist, FAQs, presentation, and self-learning kit</w:t>
      </w:r>
      <w:r w:rsidR="00C902B1">
        <w:t xml:space="preserve"> (IHI, </w:t>
      </w:r>
      <w:proofErr w:type="spellStart"/>
      <w:r w:rsidR="00C902B1">
        <w:t>nd</w:t>
      </w:r>
      <w:proofErr w:type="spellEnd"/>
      <w:r w:rsidR="00C902B1">
        <w:t>.)</w:t>
      </w:r>
      <w:r>
        <w:t>.</w:t>
      </w:r>
      <w:r w:rsidRPr="00E51FC6" w:rsidR="00E51FC6">
        <w:t xml:space="preserve"> </w:t>
      </w:r>
      <w:r w:rsidR="00E51FC6">
        <w:t>Likewise, in order</w:t>
      </w:r>
      <w:r w:rsidRPr="00E51FC6" w:rsidR="00E51FC6">
        <w:t xml:space="preserve"> to mitigate </w:t>
      </w:r>
      <w:r w:rsidR="00E51FC6">
        <w:t xml:space="preserve">patient </w:t>
      </w:r>
      <w:r w:rsidRPr="00E51FC6" w:rsidR="00E51FC6">
        <w:t xml:space="preserve">fall at Mercy Medical, providers should implement universal fall precautions and standardized assessment of falls can help plan interventions to mitigate fall. The healthcare providers must have </w:t>
      </w:r>
      <w:proofErr w:type="spellStart"/>
      <w:r w:rsidRPr="00E51FC6" w:rsidR="00E51FC6">
        <w:t>postfall</w:t>
      </w:r>
      <w:proofErr w:type="spellEnd"/>
      <w:r w:rsidRPr="00E51FC6" w:rsidR="00E51FC6">
        <w:t xml:space="preserve"> procedures, including root cause analysis, and clinical review</w:t>
      </w:r>
      <w:r w:rsidR="004B78A5">
        <w:t xml:space="preserve"> (AHRQ, 2013)</w:t>
      </w:r>
      <w:r w:rsidRPr="00E51FC6" w:rsidR="00E51FC6">
        <w:t xml:space="preserve">. </w:t>
      </w:r>
    </w:p>
    <w:p xmlns:wp14="http://schemas.microsoft.com/office/word/2010/wordml" w:rsidR="00E51FC6" w:rsidP="00E51FC6" w:rsidRDefault="00E51FC6" w14:paraId="53128261" wp14:textId="77777777">
      <w:pPr>
        <w:spacing w:line="480" w:lineRule="auto"/>
        <w:contextualSpacing/>
        <w:jc w:val="center"/>
        <w:rPr>
          <w:b/>
        </w:rPr>
      </w:pPr>
    </w:p>
    <w:p xmlns:wp14="http://schemas.microsoft.com/office/word/2010/wordml" w:rsidR="00E51FC6" w:rsidP="00E51FC6" w:rsidRDefault="00E51FC6" w14:paraId="62486C05" wp14:textId="77777777">
      <w:pPr>
        <w:spacing w:line="480" w:lineRule="auto"/>
        <w:contextualSpacing/>
        <w:jc w:val="center"/>
        <w:rPr>
          <w:b/>
        </w:rPr>
      </w:pPr>
    </w:p>
    <w:p xmlns:wp14="http://schemas.microsoft.com/office/word/2010/wordml" w:rsidRPr="00E51FC6" w:rsidR="00A049E5" w:rsidP="00E51FC6" w:rsidRDefault="00E51FC6" w14:paraId="20DBCCBE" wp14:textId="77777777">
      <w:pPr>
        <w:spacing w:line="480" w:lineRule="auto"/>
        <w:contextualSpacing/>
        <w:jc w:val="center"/>
        <w:rPr>
          <w:b/>
        </w:rPr>
      </w:pPr>
      <w:r w:rsidRPr="00E51FC6">
        <w:rPr>
          <w:b/>
        </w:rPr>
        <w:t>SMART Discharge Protocol</w:t>
      </w:r>
    </w:p>
    <w:p xmlns:wp14="http://schemas.microsoft.com/office/word/2010/wordml" w:rsidR="00E51FC6" w:rsidP="00A049E5" w:rsidRDefault="00BF4E74" w14:paraId="166BCF35" wp14:textId="77777777">
      <w:pPr>
        <w:spacing w:line="480" w:lineRule="auto"/>
        <w:ind w:firstLine="720"/>
        <w:contextualSpacing/>
      </w:pPr>
      <w:r w:rsidRPr="00BF4E74">
        <w:t>Adopting SMART Discharge Protocol is an essential intervention to reduce readmission rates. The nurse and physicians will discuss symptoms and signs to look out for after discharge and be in touch if they see those signs and symptoms. Likewise, a physician and nurse should discuss the patient’s medication, reconcile properly, and ensure enough dosage before discharge. Case managers must coordinate with the nurse and physician to ensure the patient is well booked for the next appointment or follow-up visit. At the time of discharge, a nurse and physician will confirm all lab results and discuss with the patient. The patient should be encouraged to speak out about their concerns or ask questions. Mercy Medical should adapt the SMART discharge protocol, forms, and checklist from the IHI website and modify it according to the hospital’s preferences (IHI, n.d.). The patient and their families should be encouraged to maintain seamless communication with the providers. To ensure the SMART discharge protocol is fully implemented, the hospital leaders and staff need to have the training to familiarize themselves with the procedures necessary to improve their efficiency and effective use of the documents to reduce readmission.</w:t>
      </w:r>
      <w:r w:rsidR="00A049E5">
        <w:t>.</w:t>
      </w:r>
      <w:r w:rsidR="00E51FC6">
        <w:t xml:space="preserve"> </w:t>
      </w:r>
    </w:p>
    <w:p xmlns:wp14="http://schemas.microsoft.com/office/word/2010/wordml" w:rsidRPr="00E51FC6" w:rsidR="00E51FC6" w:rsidP="00E51FC6" w:rsidRDefault="00E51FC6" w14:paraId="4746E6D9" wp14:textId="77777777">
      <w:pPr>
        <w:spacing w:line="480" w:lineRule="auto"/>
        <w:contextualSpacing/>
        <w:jc w:val="center"/>
        <w:rPr>
          <w:b/>
        </w:rPr>
      </w:pPr>
      <w:r w:rsidRPr="00E51FC6">
        <w:rPr>
          <w:b/>
        </w:rPr>
        <w:t>The Potential Effects Of Environmental Factors</w:t>
      </w:r>
    </w:p>
    <w:p xmlns:wp14="http://schemas.microsoft.com/office/word/2010/wordml" w:rsidR="0013466E" w:rsidP="00A049E5" w:rsidRDefault="00BF4E74" w14:paraId="74F0920F" wp14:textId="77777777">
      <w:pPr>
        <w:spacing w:line="480" w:lineRule="auto"/>
        <w:ind w:firstLine="720"/>
        <w:contextualSpacing/>
      </w:pPr>
      <w:r w:rsidRPr="00BF4E74">
        <w:t>The recommended policy will affect the existing hospital regulations, resources, and environmental factors. Patient privacy regulations hinder follow-up services' effective implementation (Brooke et al., 2014). Patient education and implementation of SMART discharge protocol require additional resources to prepare patient training materials and print discharge checklist. Therefore, the implementation of the SMART discharge protocol will be dictated by the availability of hospital resources, such as support services and financial support (</w:t>
      </w:r>
      <w:proofErr w:type="spellStart"/>
      <w:r w:rsidRPr="00BF4E74">
        <w:t>Gopee</w:t>
      </w:r>
      <w:proofErr w:type="spellEnd"/>
      <w:r w:rsidRPr="00BF4E74">
        <w:t xml:space="preserve"> &amp; Galloway, 2017). The guidelines recommended by the proposed policy are realistic and can be effectively implemented with support from adequate staff and steady hospital revenue. Moreover, Mercy Medical can improve patient rapport through this policy, invest more in patient education programs follow-ups, improving staff communication and care coordination. The success of mitigating readmission rates, falls, and medication errors depend on implementing the proposed policy and robust, sustainable development strategies.</w:t>
      </w:r>
    </w:p>
    <w:p xmlns:wp14="http://schemas.microsoft.com/office/word/2010/wordml" w:rsidRPr="0013466E" w:rsidR="00E51FC6" w:rsidP="0013466E" w:rsidRDefault="0013466E" w14:paraId="2C79E870" wp14:textId="77777777">
      <w:pPr>
        <w:spacing w:line="480" w:lineRule="auto"/>
        <w:contextualSpacing/>
        <w:jc w:val="center"/>
        <w:rPr>
          <w:b/>
        </w:rPr>
      </w:pPr>
      <w:r w:rsidRPr="0013466E">
        <w:rPr>
          <w:b/>
        </w:rPr>
        <w:t>Engaging Stakeholders</w:t>
      </w:r>
    </w:p>
    <w:p xmlns:wp14="http://schemas.microsoft.com/office/word/2010/wordml" w:rsidRPr="00D02144" w:rsidR="007C2703" w:rsidP="00EB2586" w:rsidRDefault="00BF4E74" w14:paraId="5FCB6DCE" wp14:textId="77777777">
      <w:pPr>
        <w:spacing w:line="480" w:lineRule="auto"/>
        <w:ind w:firstLine="720"/>
        <w:contextualSpacing/>
      </w:pPr>
      <w:r w:rsidRPr="00BF4E74">
        <w:t xml:space="preserve">   Moreover, successful implementation of the proposed policy requires engaging stakeholders in the design and implementation process (</w:t>
      </w:r>
      <w:proofErr w:type="spellStart"/>
      <w:r w:rsidRPr="00BF4E74">
        <w:t>Gopee</w:t>
      </w:r>
      <w:proofErr w:type="spellEnd"/>
      <w:r w:rsidRPr="00BF4E74">
        <w:t xml:space="preserve"> &amp; Galloway, 2017). Healthcare stakeholders include physicians, nurses, administrators, leaders, insurance providers, pharmacists, and the management team. Each stakeholder plays an essential role in the implementation process. Engaging hospital management is important to secure commitment and support through financial resources. Reaching out to the management helps overcome potential resistance from stakeholders </w:t>
      </w:r>
      <w:r w:rsidR="003F2B3B">
        <w:t xml:space="preserve">from healthcare providers </w:t>
      </w:r>
      <w:r w:rsidRPr="00BF4E74">
        <w:t>(</w:t>
      </w:r>
      <w:proofErr w:type="spellStart"/>
      <w:r w:rsidRPr="00BF4E74">
        <w:t>Gopee</w:t>
      </w:r>
      <w:proofErr w:type="spellEnd"/>
      <w:r w:rsidRPr="00BF4E74">
        <w:t xml:space="preserve"> &amp; Galloway, 2017). Therefore, the development and implementation of the proposed policy engage all stakeholders within the organization.</w:t>
      </w:r>
      <w:r>
        <w:t xml:space="preserve">    </w:t>
      </w:r>
    </w:p>
    <w:p xmlns:wp14="http://schemas.microsoft.com/office/word/2010/wordml" w:rsidR="00210409" w:rsidP="00D02144" w:rsidRDefault="00210409" w14:paraId="4101652C" wp14:textId="77777777">
      <w:pPr>
        <w:tabs>
          <w:tab w:val="left" w:pos="690"/>
          <w:tab w:val="center" w:pos="4680"/>
        </w:tabs>
        <w:spacing w:line="480" w:lineRule="auto"/>
        <w:contextualSpacing/>
        <w:jc w:val="center"/>
        <w:rPr>
          <w:b/>
          <w:color w:val="000000"/>
        </w:rPr>
        <w:sectPr w:rsidR="00210409" w:rsidSect="00C625C2">
          <w:headerReference w:type="default" r:id="rId8"/>
          <w:headerReference w:type="first" r:id="rId9"/>
          <w:pgSz w:w="12240" w:h="15840" w:orient="portrait" w:code="1"/>
          <w:pgMar w:top="1440" w:right="1440" w:bottom="1440" w:left="1440" w:header="720" w:footer="720" w:gutter="0"/>
          <w:pgNumType w:start="1"/>
          <w:cols w:space="720"/>
          <w:docGrid w:linePitch="360"/>
        </w:sectPr>
      </w:pPr>
    </w:p>
    <w:p xmlns:wp14="http://schemas.microsoft.com/office/word/2010/wordml" w:rsidR="00B1377D" w:rsidP="00D02144" w:rsidRDefault="0040475F" w14:paraId="071E4E01" wp14:textId="77777777">
      <w:pPr>
        <w:tabs>
          <w:tab w:val="left" w:pos="690"/>
          <w:tab w:val="center" w:pos="4680"/>
        </w:tabs>
        <w:spacing w:line="480" w:lineRule="auto"/>
        <w:contextualSpacing/>
        <w:jc w:val="center"/>
        <w:rPr>
          <w:b/>
          <w:color w:val="000000"/>
        </w:rPr>
      </w:pPr>
      <w:r w:rsidRPr="00D02144">
        <w:rPr>
          <w:b/>
          <w:color w:val="000000"/>
        </w:rPr>
        <w:t>References</w:t>
      </w:r>
    </w:p>
    <w:p xmlns:wp14="http://schemas.microsoft.com/office/word/2010/wordml" w:rsidR="00C902B1" w:rsidP="00C902B1" w:rsidRDefault="00C902B1" w14:paraId="091AA29A" wp14:textId="77777777">
      <w:pPr>
        <w:tabs>
          <w:tab w:val="left" w:pos="690"/>
          <w:tab w:val="center" w:pos="4680"/>
        </w:tabs>
        <w:spacing w:line="480" w:lineRule="auto"/>
        <w:ind w:left="691" w:hanging="691"/>
        <w:contextualSpacing/>
      </w:pPr>
      <w:r>
        <w:t xml:space="preserve">AHRQ (2013). </w:t>
      </w:r>
      <w:r w:rsidRPr="00BF5B28">
        <w:t>Preventing Falls in Hospitals</w:t>
      </w:r>
      <w:r>
        <w:t xml:space="preserve">. </w:t>
      </w:r>
      <w:hyperlink w:history="1" r:id="rId10">
        <w:r w:rsidRPr="00361D42">
          <w:rPr>
            <w:rStyle w:val="Hyperlink"/>
          </w:rPr>
          <w:t>https://www.ahrq.gov/patient-safety/settings/hospital/fall-prevention/toolkit/practices.html#3-3</w:t>
        </w:r>
      </w:hyperlink>
    </w:p>
    <w:p xmlns:wp14="http://schemas.microsoft.com/office/word/2010/wordml" w:rsidR="00C902B1" w:rsidP="00C902B1" w:rsidRDefault="00C902B1" w14:paraId="2DD65854" wp14:textId="77777777">
      <w:pPr>
        <w:tabs>
          <w:tab w:val="left" w:pos="690"/>
          <w:tab w:val="center" w:pos="4680"/>
        </w:tabs>
        <w:spacing w:line="480" w:lineRule="auto"/>
        <w:ind w:left="691" w:hanging="691"/>
        <w:contextualSpacing/>
      </w:pPr>
      <w:r>
        <w:t xml:space="preserve">Brooke, B. S., Stone, D. H., </w:t>
      </w:r>
      <w:proofErr w:type="spellStart"/>
      <w:r>
        <w:t>Cronenwett</w:t>
      </w:r>
      <w:proofErr w:type="spellEnd"/>
      <w:r>
        <w:t xml:space="preserve">, J. L., Nolan, B., </w:t>
      </w:r>
      <w:proofErr w:type="spellStart"/>
      <w:r>
        <w:t>DeMartino</w:t>
      </w:r>
      <w:proofErr w:type="spellEnd"/>
      <w:r>
        <w:t xml:space="preserve">, R. R., </w:t>
      </w:r>
      <w:proofErr w:type="spellStart"/>
      <w:r>
        <w:t>MacKenzie</w:t>
      </w:r>
      <w:proofErr w:type="spellEnd"/>
      <w:r>
        <w:t xml:space="preserve">, T. A., &amp; </w:t>
      </w:r>
      <w:proofErr w:type="spellStart"/>
      <w:r>
        <w:t>Goodney</w:t>
      </w:r>
      <w:proofErr w:type="spellEnd"/>
      <w:r>
        <w:t xml:space="preserve">, P. P. (2014). Early primary care provider follow-up and readmission after high-risk surgery. </w:t>
      </w:r>
      <w:r>
        <w:rPr>
          <w:i/>
          <w:iCs/>
        </w:rPr>
        <w:t>JAMA surgery</w:t>
      </w:r>
      <w:r>
        <w:t xml:space="preserve">, </w:t>
      </w:r>
      <w:r>
        <w:rPr>
          <w:i/>
          <w:iCs/>
        </w:rPr>
        <w:t>149</w:t>
      </w:r>
      <w:r>
        <w:t xml:space="preserve">(8), 821-828. </w:t>
      </w:r>
      <w:hyperlink w:history="1" r:id="rId11">
        <w:r w:rsidRPr="00361D42">
          <w:rPr>
            <w:rStyle w:val="Hyperlink"/>
          </w:rPr>
          <w:t>http://doi.org/10.1001/jamasurg.2014.157</w:t>
        </w:r>
      </w:hyperlink>
      <w:r>
        <w:rPr>
          <w:rStyle w:val="meta-citation"/>
        </w:rPr>
        <w:t xml:space="preserve"> </w:t>
      </w:r>
      <w:r>
        <w:t xml:space="preserve"> </w:t>
      </w:r>
    </w:p>
    <w:p xmlns:wp14="http://schemas.microsoft.com/office/word/2010/wordml" w:rsidR="00C902B1" w:rsidP="00C902B1" w:rsidRDefault="00C902B1" w14:paraId="217A6A57" wp14:textId="77777777">
      <w:pPr>
        <w:tabs>
          <w:tab w:val="left" w:pos="690"/>
          <w:tab w:val="center" w:pos="4680"/>
        </w:tabs>
        <w:spacing w:line="480" w:lineRule="auto"/>
        <w:ind w:left="691" w:hanging="691"/>
        <w:contextualSpacing/>
      </w:pPr>
      <w:r>
        <w:t xml:space="preserve">De Alba, I., &amp; Amin, A. (2014). Pneumonia readmissions: risk factors and implications. </w:t>
      </w:r>
      <w:proofErr w:type="spellStart"/>
      <w:r>
        <w:rPr>
          <w:i/>
          <w:iCs/>
        </w:rPr>
        <w:t>Ochsner</w:t>
      </w:r>
      <w:proofErr w:type="spellEnd"/>
      <w:r>
        <w:rPr>
          <w:i/>
          <w:iCs/>
        </w:rPr>
        <w:t xml:space="preserve"> Journal</w:t>
      </w:r>
      <w:r>
        <w:t xml:space="preserve">, </w:t>
      </w:r>
      <w:r>
        <w:rPr>
          <w:i/>
          <w:iCs/>
        </w:rPr>
        <w:t>14</w:t>
      </w:r>
      <w:r>
        <w:t>(4), 649-654.</w:t>
      </w:r>
      <w:r w:rsidRPr="00EB2586">
        <w:t xml:space="preserve"> </w:t>
      </w:r>
      <w:hyperlink w:history="1" r:id="rId12">
        <w:r w:rsidRPr="00361D42">
          <w:rPr>
            <w:rStyle w:val="Hyperlink"/>
          </w:rPr>
          <w:t>http://www.ochsnerjournal.org/content/ochjnl/14/4/649.full-text.pdf</w:t>
        </w:r>
      </w:hyperlink>
    </w:p>
    <w:p xmlns:wp14="http://schemas.microsoft.com/office/word/2010/wordml" w:rsidR="00C902B1" w:rsidP="00C902B1" w:rsidRDefault="00C902B1" w14:paraId="5E2D124E" wp14:textId="77777777">
      <w:pPr>
        <w:tabs>
          <w:tab w:val="left" w:pos="690"/>
          <w:tab w:val="center" w:pos="4680"/>
        </w:tabs>
        <w:spacing w:line="480" w:lineRule="auto"/>
        <w:ind w:left="691" w:hanging="691"/>
        <w:contextualSpacing/>
      </w:pPr>
      <w:proofErr w:type="spellStart"/>
      <w:r>
        <w:t>Gopee</w:t>
      </w:r>
      <w:proofErr w:type="spellEnd"/>
      <w:r>
        <w:t xml:space="preserve">, N., &amp; Galloway, J. (2017). </w:t>
      </w:r>
      <w:r>
        <w:rPr>
          <w:i/>
          <w:iCs/>
        </w:rPr>
        <w:t>Leadership and management in healthcare</w:t>
      </w:r>
      <w:r>
        <w:t>. Sage.</w:t>
      </w:r>
    </w:p>
    <w:p xmlns:wp14="http://schemas.microsoft.com/office/word/2010/wordml" w:rsidR="00C902B1" w:rsidP="00C902B1" w:rsidRDefault="00C902B1" w14:paraId="402E8DB0" wp14:textId="77777777">
      <w:pPr>
        <w:tabs>
          <w:tab w:val="left" w:pos="690"/>
          <w:tab w:val="center" w:pos="4680"/>
        </w:tabs>
        <w:spacing w:line="480" w:lineRule="auto"/>
        <w:ind w:left="691" w:hanging="691"/>
        <w:contextualSpacing/>
      </w:pPr>
      <w:r>
        <w:t xml:space="preserve">IHI (n.d.). SMART Discharge Protocol. </w:t>
      </w:r>
      <w:hyperlink w:history="1" r:id="rId13">
        <w:r w:rsidRPr="00361D42">
          <w:rPr>
            <w:rStyle w:val="Hyperlink"/>
          </w:rPr>
          <w:t>http://www.ihi.org/resources/Pages/Tools/SMARTDischargeProtocol.aspx</w:t>
        </w:r>
      </w:hyperlink>
      <w:r>
        <w:t xml:space="preserve">   </w:t>
      </w:r>
    </w:p>
    <w:p xmlns:wp14="http://schemas.microsoft.com/office/word/2010/wordml" w:rsidR="00C902B1" w:rsidP="00C902B1" w:rsidRDefault="00C902B1" w14:paraId="6F0F7903" wp14:textId="77777777">
      <w:pPr>
        <w:tabs>
          <w:tab w:val="left" w:pos="690"/>
          <w:tab w:val="center" w:pos="4680"/>
        </w:tabs>
        <w:spacing w:line="480" w:lineRule="auto"/>
        <w:ind w:left="691" w:hanging="691"/>
        <w:contextualSpacing/>
      </w:pPr>
      <w:r w:rsidRPr="00ED54C9">
        <w:t xml:space="preserve">Jiang, H. J., </w:t>
      </w:r>
      <w:proofErr w:type="spellStart"/>
      <w:r w:rsidRPr="00ED54C9">
        <w:t>Boutwell</w:t>
      </w:r>
      <w:proofErr w:type="spellEnd"/>
      <w:r w:rsidRPr="00ED54C9">
        <w:t xml:space="preserve">, A. E., Maxwell, J., </w:t>
      </w:r>
      <w:proofErr w:type="spellStart"/>
      <w:r w:rsidRPr="00ED54C9">
        <w:t>Bourgoin</w:t>
      </w:r>
      <w:proofErr w:type="spellEnd"/>
      <w:r w:rsidRPr="00ED54C9">
        <w:t xml:space="preserve">, A., Regenstein, M., &amp; Andres, E. (2016). Understanding patient, provider, and system factors related to Medicaid readmissions. </w:t>
      </w:r>
      <w:r w:rsidRPr="00ED54C9">
        <w:rPr>
          <w:i/>
          <w:iCs/>
        </w:rPr>
        <w:t>The Joint Commission Journal on Quality and Patient Safety</w:t>
      </w:r>
      <w:r w:rsidRPr="00ED54C9">
        <w:t xml:space="preserve">, </w:t>
      </w:r>
      <w:r w:rsidRPr="00ED54C9">
        <w:rPr>
          <w:i/>
          <w:iCs/>
        </w:rPr>
        <w:t>42</w:t>
      </w:r>
      <w:r w:rsidRPr="00ED54C9">
        <w:t>(3), 115-121.</w:t>
      </w:r>
      <w:r>
        <w:t xml:space="preserve"> </w:t>
      </w:r>
      <w:hyperlink w:history="1" r:id="rId14">
        <w:r w:rsidRPr="00361D42">
          <w:rPr>
            <w:rStyle w:val="Hyperlink"/>
          </w:rPr>
          <w:t>https://doi.org/10.1016/S1553-7250(16)42014-3</w:t>
        </w:r>
      </w:hyperlink>
    </w:p>
    <w:p xmlns:wp14="http://schemas.microsoft.com/office/word/2010/wordml" w:rsidRPr="00ED54C9" w:rsidR="00EB2586" w:rsidP="00EB2586" w:rsidRDefault="00EB2586" w14:paraId="4B99056E" wp14:textId="77777777">
      <w:pPr>
        <w:tabs>
          <w:tab w:val="left" w:pos="690"/>
          <w:tab w:val="center" w:pos="4680"/>
        </w:tabs>
        <w:spacing w:line="480" w:lineRule="auto"/>
        <w:contextualSpacing/>
      </w:pPr>
    </w:p>
    <w:sectPr w:rsidRPr="00ED54C9" w:rsidR="00EB2586" w:rsidSect="00C625C2">
      <w:pgSz w:w="12240" w:h="15840" w:orient="portrait"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10814" w:rsidRDefault="00F10814" w14:paraId="4DDBEF00" wp14:textId="77777777">
      <w:r>
        <w:separator/>
      </w:r>
    </w:p>
  </w:endnote>
  <w:endnote w:type="continuationSeparator" w:id="0">
    <w:p xmlns:wp14="http://schemas.microsoft.com/office/word/2010/wordml" w:rsidR="00F10814" w:rsidRDefault="00F10814"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10814" w:rsidRDefault="00F10814" w14:paraId="3CF2D8B6" wp14:textId="77777777">
      <w:r>
        <w:separator/>
      </w:r>
    </w:p>
  </w:footnote>
  <w:footnote w:type="continuationSeparator" w:id="0">
    <w:p xmlns:wp14="http://schemas.microsoft.com/office/word/2010/wordml" w:rsidR="00F10814" w:rsidRDefault="00F10814"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25C2" w:rsidRDefault="0040475F" w14:paraId="2903CBC8" wp14:textId="77777777">
    <w:pPr>
      <w:pStyle w:val="Header"/>
      <w:jc w:val="right"/>
    </w:pPr>
    <w:r>
      <w:fldChar w:fldCharType="begin"/>
    </w:r>
    <w:r>
      <w:instrText xml:space="preserve"> PAGE   \* MERGEFORMAT </w:instrText>
    </w:r>
    <w:r>
      <w:fldChar w:fldCharType="separate"/>
    </w:r>
    <w:r w:rsidR="00B22449">
      <w:rPr>
        <w:noProof/>
      </w:rPr>
      <w:t>2</w:t>
    </w:r>
    <w:r>
      <w:rPr>
        <w:noProof/>
      </w:rPr>
      <w:fldChar w:fldCharType="end"/>
    </w:r>
  </w:p>
  <w:p xmlns:wp14="http://schemas.microsoft.com/office/word/2010/wordml" w:rsidRPr="00352E8D" w:rsidR="00C625C2" w:rsidP="00C625C2" w:rsidRDefault="00C625C2" w14:paraId="1299C43A" wp14:textId="77777777">
    <w:pPr>
      <w:pStyle w:val="Header"/>
      <w:ind w:right="36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25C2" w:rsidRDefault="0040475F" w14:paraId="08F1F8EB" wp14:textId="77777777">
    <w:pPr>
      <w:pStyle w:val="Header"/>
      <w:jc w:val="right"/>
    </w:pPr>
    <w:r>
      <w:t xml:space="preserve">       APA Papers         </w:t>
    </w:r>
    <w:r w:rsidR="00141791">
      <w:fldChar w:fldCharType="begin"/>
    </w:r>
    <w:r>
      <w:instrText xml:space="preserve"> PAGE   \* MERGEFORMAT </w:instrText>
    </w:r>
    <w:r w:rsidR="00141791">
      <w:fldChar w:fldCharType="separate"/>
    </w:r>
    <w:r>
      <w:rPr>
        <w:noProof/>
      </w:rPr>
      <w:t>1</w:t>
    </w:r>
    <w:r w:rsidR="00141791">
      <w:rPr>
        <w:noProof/>
      </w:rPr>
      <w:fldChar w:fldCharType="end"/>
    </w:r>
  </w:p>
  <w:p xmlns:wp14="http://schemas.microsoft.com/office/word/2010/wordml" w:rsidR="00C625C2" w:rsidRDefault="00C625C2" w14:paraId="1FC3994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B39"/>
    <w:multiLevelType w:val="hybridMultilevel"/>
    <w:tmpl w:val="79EAABF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12D1424"/>
    <w:multiLevelType w:val="hybridMultilevel"/>
    <w:tmpl w:val="87C62964"/>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2655815"/>
    <w:multiLevelType w:val="hybridMultilevel"/>
    <w:tmpl w:val="6F1CF908"/>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3064F4E"/>
    <w:multiLevelType w:val="hybridMultilevel"/>
    <w:tmpl w:val="8410F0F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0BA0D53"/>
    <w:multiLevelType w:val="hybridMultilevel"/>
    <w:tmpl w:val="E31C5C4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5094DF7"/>
    <w:multiLevelType w:val="hybridMultilevel"/>
    <w:tmpl w:val="C9FA2F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5147738"/>
    <w:multiLevelType w:val="hybridMultilevel"/>
    <w:tmpl w:val="4CC210C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77B2D5F"/>
    <w:multiLevelType w:val="hybridMultilevel"/>
    <w:tmpl w:val="9A6CB32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C9841C8"/>
    <w:multiLevelType w:val="hybridMultilevel"/>
    <w:tmpl w:val="B54EE83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7570807"/>
    <w:multiLevelType w:val="hybridMultilevel"/>
    <w:tmpl w:val="DF066492"/>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5BD6F11"/>
    <w:multiLevelType w:val="hybridMultilevel"/>
    <w:tmpl w:val="4BD24E2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8A74492"/>
    <w:multiLevelType w:val="hybridMultilevel"/>
    <w:tmpl w:val="79948A8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A972A14"/>
    <w:multiLevelType w:val="hybridMultilevel"/>
    <w:tmpl w:val="6C62516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5C55D29"/>
    <w:multiLevelType w:val="hybridMultilevel"/>
    <w:tmpl w:val="FE1ACC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3"/>
  </w:num>
  <w:num w:numId="5">
    <w:abstractNumId w:val="6"/>
  </w:num>
  <w:num w:numId="6">
    <w:abstractNumId w:val="8"/>
  </w:num>
  <w:num w:numId="7">
    <w:abstractNumId w:val="11"/>
  </w:num>
  <w:num w:numId="8">
    <w:abstractNumId w:val="7"/>
  </w:num>
  <w:num w:numId="9">
    <w:abstractNumId w:val="10"/>
  </w:num>
  <w:num w:numId="10">
    <w:abstractNumId w:val="4"/>
  </w:num>
  <w:num w:numId="11">
    <w:abstractNumId w:val="12"/>
  </w:num>
  <w:num w:numId="12">
    <w:abstractNumId w:val="9"/>
  </w:num>
  <w:num w:numId="13">
    <w:abstractNumId w:val="2"/>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zQ0MTYxN7GwtDRT0lEKTi0uzszPAykwNK4FAL5bhMctAAAA"/>
  </w:docVars>
  <w:rsids>
    <w:rsidRoot w:val="00C625C2"/>
    <w:rsid w:val="00000354"/>
    <w:rsid w:val="00001056"/>
    <w:rsid w:val="0000136D"/>
    <w:rsid w:val="000015BD"/>
    <w:rsid w:val="00006C8D"/>
    <w:rsid w:val="000075EC"/>
    <w:rsid w:val="00010B79"/>
    <w:rsid w:val="00013017"/>
    <w:rsid w:val="00016489"/>
    <w:rsid w:val="00021BCE"/>
    <w:rsid w:val="00023DE3"/>
    <w:rsid w:val="00023FCD"/>
    <w:rsid w:val="00026AE1"/>
    <w:rsid w:val="00030074"/>
    <w:rsid w:val="00033058"/>
    <w:rsid w:val="00035922"/>
    <w:rsid w:val="00037E1C"/>
    <w:rsid w:val="00042974"/>
    <w:rsid w:val="000462DE"/>
    <w:rsid w:val="00047D5C"/>
    <w:rsid w:val="00050813"/>
    <w:rsid w:val="000516A4"/>
    <w:rsid w:val="0005281F"/>
    <w:rsid w:val="00054053"/>
    <w:rsid w:val="00054725"/>
    <w:rsid w:val="00055A8B"/>
    <w:rsid w:val="00057677"/>
    <w:rsid w:val="000579E5"/>
    <w:rsid w:val="00057B18"/>
    <w:rsid w:val="000612A8"/>
    <w:rsid w:val="0006156F"/>
    <w:rsid w:val="00075FAF"/>
    <w:rsid w:val="0007669C"/>
    <w:rsid w:val="0007704F"/>
    <w:rsid w:val="000816C7"/>
    <w:rsid w:val="00083DA9"/>
    <w:rsid w:val="00084856"/>
    <w:rsid w:val="000854C1"/>
    <w:rsid w:val="00085CFD"/>
    <w:rsid w:val="00085F7D"/>
    <w:rsid w:val="00085FBF"/>
    <w:rsid w:val="00085FF8"/>
    <w:rsid w:val="00086523"/>
    <w:rsid w:val="0009328C"/>
    <w:rsid w:val="00095D5B"/>
    <w:rsid w:val="00096240"/>
    <w:rsid w:val="000A0FF4"/>
    <w:rsid w:val="000A1D7E"/>
    <w:rsid w:val="000A31EC"/>
    <w:rsid w:val="000A5AB8"/>
    <w:rsid w:val="000B01CF"/>
    <w:rsid w:val="000B1152"/>
    <w:rsid w:val="000B426F"/>
    <w:rsid w:val="000B428A"/>
    <w:rsid w:val="000B43A6"/>
    <w:rsid w:val="000B5F5E"/>
    <w:rsid w:val="000B7666"/>
    <w:rsid w:val="000B7BF1"/>
    <w:rsid w:val="000D01E1"/>
    <w:rsid w:val="000D2DAA"/>
    <w:rsid w:val="000D3483"/>
    <w:rsid w:val="000D378E"/>
    <w:rsid w:val="000D415B"/>
    <w:rsid w:val="000D454A"/>
    <w:rsid w:val="000D5652"/>
    <w:rsid w:val="000D5800"/>
    <w:rsid w:val="000D611E"/>
    <w:rsid w:val="000D69B3"/>
    <w:rsid w:val="000D6ECF"/>
    <w:rsid w:val="000D7477"/>
    <w:rsid w:val="000E0995"/>
    <w:rsid w:val="000E13B7"/>
    <w:rsid w:val="000E3396"/>
    <w:rsid w:val="000E6768"/>
    <w:rsid w:val="000E6C2F"/>
    <w:rsid w:val="000F04FF"/>
    <w:rsid w:val="000F1C8F"/>
    <w:rsid w:val="000F1C92"/>
    <w:rsid w:val="000F30A4"/>
    <w:rsid w:val="000F5CDB"/>
    <w:rsid w:val="000F610E"/>
    <w:rsid w:val="000F63C1"/>
    <w:rsid w:val="000F6ADA"/>
    <w:rsid w:val="000F7F30"/>
    <w:rsid w:val="0010189A"/>
    <w:rsid w:val="00101C64"/>
    <w:rsid w:val="00101F35"/>
    <w:rsid w:val="00102275"/>
    <w:rsid w:val="001038A4"/>
    <w:rsid w:val="001039E5"/>
    <w:rsid w:val="00103AAA"/>
    <w:rsid w:val="00104316"/>
    <w:rsid w:val="0010456B"/>
    <w:rsid w:val="001069B5"/>
    <w:rsid w:val="00107E9A"/>
    <w:rsid w:val="00112970"/>
    <w:rsid w:val="00112F43"/>
    <w:rsid w:val="00114C67"/>
    <w:rsid w:val="0011673E"/>
    <w:rsid w:val="00116A08"/>
    <w:rsid w:val="00117092"/>
    <w:rsid w:val="00120300"/>
    <w:rsid w:val="0012163A"/>
    <w:rsid w:val="001217BA"/>
    <w:rsid w:val="00121E47"/>
    <w:rsid w:val="00123B76"/>
    <w:rsid w:val="00124408"/>
    <w:rsid w:val="001245CD"/>
    <w:rsid w:val="00125366"/>
    <w:rsid w:val="00127020"/>
    <w:rsid w:val="00131737"/>
    <w:rsid w:val="00132DFD"/>
    <w:rsid w:val="00133AFC"/>
    <w:rsid w:val="0013466E"/>
    <w:rsid w:val="00135386"/>
    <w:rsid w:val="001362FC"/>
    <w:rsid w:val="00136DC2"/>
    <w:rsid w:val="00136F84"/>
    <w:rsid w:val="00141791"/>
    <w:rsid w:val="00141C19"/>
    <w:rsid w:val="00144A2A"/>
    <w:rsid w:val="00144A78"/>
    <w:rsid w:val="00147EAD"/>
    <w:rsid w:val="001507F4"/>
    <w:rsid w:val="00151571"/>
    <w:rsid w:val="00152896"/>
    <w:rsid w:val="00157A3E"/>
    <w:rsid w:val="00164EA1"/>
    <w:rsid w:val="00165DB2"/>
    <w:rsid w:val="00167E34"/>
    <w:rsid w:val="00171646"/>
    <w:rsid w:val="00171E49"/>
    <w:rsid w:val="0017215E"/>
    <w:rsid w:val="00172A97"/>
    <w:rsid w:val="00172ABC"/>
    <w:rsid w:val="0017364C"/>
    <w:rsid w:val="00174859"/>
    <w:rsid w:val="00174D8F"/>
    <w:rsid w:val="00176892"/>
    <w:rsid w:val="001773E3"/>
    <w:rsid w:val="0018296E"/>
    <w:rsid w:val="001859A3"/>
    <w:rsid w:val="00187BA0"/>
    <w:rsid w:val="00187F25"/>
    <w:rsid w:val="00190627"/>
    <w:rsid w:val="00190B21"/>
    <w:rsid w:val="00190B32"/>
    <w:rsid w:val="001919C8"/>
    <w:rsid w:val="00192AF7"/>
    <w:rsid w:val="0019517C"/>
    <w:rsid w:val="001963DB"/>
    <w:rsid w:val="00197054"/>
    <w:rsid w:val="0019742B"/>
    <w:rsid w:val="001A069D"/>
    <w:rsid w:val="001A0B04"/>
    <w:rsid w:val="001A143D"/>
    <w:rsid w:val="001A1AA4"/>
    <w:rsid w:val="001A1D39"/>
    <w:rsid w:val="001A495B"/>
    <w:rsid w:val="001A4AD2"/>
    <w:rsid w:val="001A647B"/>
    <w:rsid w:val="001A6B6C"/>
    <w:rsid w:val="001A6FFB"/>
    <w:rsid w:val="001A7452"/>
    <w:rsid w:val="001B08D3"/>
    <w:rsid w:val="001B122F"/>
    <w:rsid w:val="001B213D"/>
    <w:rsid w:val="001B3431"/>
    <w:rsid w:val="001B5FFA"/>
    <w:rsid w:val="001B6BE3"/>
    <w:rsid w:val="001B778F"/>
    <w:rsid w:val="001C17A5"/>
    <w:rsid w:val="001C1AB0"/>
    <w:rsid w:val="001C3D77"/>
    <w:rsid w:val="001C4377"/>
    <w:rsid w:val="001C4887"/>
    <w:rsid w:val="001C531D"/>
    <w:rsid w:val="001D306D"/>
    <w:rsid w:val="001D308C"/>
    <w:rsid w:val="001D4604"/>
    <w:rsid w:val="001D51C6"/>
    <w:rsid w:val="001D57B4"/>
    <w:rsid w:val="001D78F2"/>
    <w:rsid w:val="001D7DC3"/>
    <w:rsid w:val="001E01E1"/>
    <w:rsid w:val="001E0B8F"/>
    <w:rsid w:val="001E300A"/>
    <w:rsid w:val="001E40A4"/>
    <w:rsid w:val="001E7329"/>
    <w:rsid w:val="001E7383"/>
    <w:rsid w:val="00200702"/>
    <w:rsid w:val="00207C19"/>
    <w:rsid w:val="00210409"/>
    <w:rsid w:val="00211176"/>
    <w:rsid w:val="0021129C"/>
    <w:rsid w:val="00211A02"/>
    <w:rsid w:val="0021495F"/>
    <w:rsid w:val="00216D52"/>
    <w:rsid w:val="002175D7"/>
    <w:rsid w:val="00217C5D"/>
    <w:rsid w:val="0022075B"/>
    <w:rsid w:val="0022281C"/>
    <w:rsid w:val="00224BF7"/>
    <w:rsid w:val="0022716D"/>
    <w:rsid w:val="002273B3"/>
    <w:rsid w:val="00233622"/>
    <w:rsid w:val="002342FD"/>
    <w:rsid w:val="00236934"/>
    <w:rsid w:val="00237061"/>
    <w:rsid w:val="00240302"/>
    <w:rsid w:val="00240F6B"/>
    <w:rsid w:val="00241987"/>
    <w:rsid w:val="00242658"/>
    <w:rsid w:val="0024307F"/>
    <w:rsid w:val="002445D6"/>
    <w:rsid w:val="0024487A"/>
    <w:rsid w:val="00244BB4"/>
    <w:rsid w:val="00246562"/>
    <w:rsid w:val="00246F13"/>
    <w:rsid w:val="002478EB"/>
    <w:rsid w:val="00247C3B"/>
    <w:rsid w:val="00247FAA"/>
    <w:rsid w:val="00253A6E"/>
    <w:rsid w:val="00254A73"/>
    <w:rsid w:val="00254BBC"/>
    <w:rsid w:val="00256A45"/>
    <w:rsid w:val="002575C4"/>
    <w:rsid w:val="00257946"/>
    <w:rsid w:val="00262ED8"/>
    <w:rsid w:val="00264653"/>
    <w:rsid w:val="0026502D"/>
    <w:rsid w:val="002653BD"/>
    <w:rsid w:val="00265DEE"/>
    <w:rsid w:val="002703D8"/>
    <w:rsid w:val="00271340"/>
    <w:rsid w:val="00272128"/>
    <w:rsid w:val="002721B9"/>
    <w:rsid w:val="002723CF"/>
    <w:rsid w:val="00273FC0"/>
    <w:rsid w:val="00274875"/>
    <w:rsid w:val="00277014"/>
    <w:rsid w:val="002803A6"/>
    <w:rsid w:val="002830DB"/>
    <w:rsid w:val="0028607D"/>
    <w:rsid w:val="00287462"/>
    <w:rsid w:val="00287D99"/>
    <w:rsid w:val="002912CF"/>
    <w:rsid w:val="00292365"/>
    <w:rsid w:val="00292699"/>
    <w:rsid w:val="00292E8F"/>
    <w:rsid w:val="0029377F"/>
    <w:rsid w:val="00296C55"/>
    <w:rsid w:val="00296DE9"/>
    <w:rsid w:val="00297D15"/>
    <w:rsid w:val="002A14A9"/>
    <w:rsid w:val="002A2AE9"/>
    <w:rsid w:val="002A3C75"/>
    <w:rsid w:val="002A49BE"/>
    <w:rsid w:val="002A70CF"/>
    <w:rsid w:val="002A7844"/>
    <w:rsid w:val="002B0F05"/>
    <w:rsid w:val="002B3751"/>
    <w:rsid w:val="002B3A77"/>
    <w:rsid w:val="002B43C1"/>
    <w:rsid w:val="002B5AA1"/>
    <w:rsid w:val="002B6274"/>
    <w:rsid w:val="002B70AA"/>
    <w:rsid w:val="002B7A95"/>
    <w:rsid w:val="002C027B"/>
    <w:rsid w:val="002C2481"/>
    <w:rsid w:val="002C3A03"/>
    <w:rsid w:val="002C585C"/>
    <w:rsid w:val="002C7317"/>
    <w:rsid w:val="002D0400"/>
    <w:rsid w:val="002D1B06"/>
    <w:rsid w:val="002D2EEE"/>
    <w:rsid w:val="002D2F66"/>
    <w:rsid w:val="002D5CFB"/>
    <w:rsid w:val="002D628B"/>
    <w:rsid w:val="002D7550"/>
    <w:rsid w:val="002D7D13"/>
    <w:rsid w:val="002E1044"/>
    <w:rsid w:val="002E1132"/>
    <w:rsid w:val="002E1CC6"/>
    <w:rsid w:val="002E2CA1"/>
    <w:rsid w:val="002E69CA"/>
    <w:rsid w:val="002E6B7D"/>
    <w:rsid w:val="002F0A21"/>
    <w:rsid w:val="002F11B6"/>
    <w:rsid w:val="002F212E"/>
    <w:rsid w:val="002F523E"/>
    <w:rsid w:val="002F566F"/>
    <w:rsid w:val="002F633B"/>
    <w:rsid w:val="00303387"/>
    <w:rsid w:val="00306DCD"/>
    <w:rsid w:val="003073F5"/>
    <w:rsid w:val="003079B4"/>
    <w:rsid w:val="00307CEC"/>
    <w:rsid w:val="00315E47"/>
    <w:rsid w:val="003165FF"/>
    <w:rsid w:val="00316800"/>
    <w:rsid w:val="003205D2"/>
    <w:rsid w:val="0032333E"/>
    <w:rsid w:val="00325E15"/>
    <w:rsid w:val="00326D61"/>
    <w:rsid w:val="00327171"/>
    <w:rsid w:val="00327523"/>
    <w:rsid w:val="0033096B"/>
    <w:rsid w:val="00332A19"/>
    <w:rsid w:val="00332F61"/>
    <w:rsid w:val="0033512D"/>
    <w:rsid w:val="00335548"/>
    <w:rsid w:val="00335CFE"/>
    <w:rsid w:val="003363A0"/>
    <w:rsid w:val="003414CD"/>
    <w:rsid w:val="0034190D"/>
    <w:rsid w:val="00342154"/>
    <w:rsid w:val="00342D2B"/>
    <w:rsid w:val="0034490D"/>
    <w:rsid w:val="003464DA"/>
    <w:rsid w:val="00347AD3"/>
    <w:rsid w:val="003516C4"/>
    <w:rsid w:val="003524F6"/>
    <w:rsid w:val="00352E8D"/>
    <w:rsid w:val="00353604"/>
    <w:rsid w:val="003578B3"/>
    <w:rsid w:val="00357CF1"/>
    <w:rsid w:val="003605FA"/>
    <w:rsid w:val="00362098"/>
    <w:rsid w:val="003628B8"/>
    <w:rsid w:val="00362956"/>
    <w:rsid w:val="0036370B"/>
    <w:rsid w:val="00363D49"/>
    <w:rsid w:val="00364AB3"/>
    <w:rsid w:val="0036622D"/>
    <w:rsid w:val="003663DF"/>
    <w:rsid w:val="00366A8E"/>
    <w:rsid w:val="003679EC"/>
    <w:rsid w:val="00370B6B"/>
    <w:rsid w:val="00370D91"/>
    <w:rsid w:val="0037120C"/>
    <w:rsid w:val="003741FB"/>
    <w:rsid w:val="00382B70"/>
    <w:rsid w:val="00383547"/>
    <w:rsid w:val="00384BE4"/>
    <w:rsid w:val="00385B74"/>
    <w:rsid w:val="0038711C"/>
    <w:rsid w:val="00387587"/>
    <w:rsid w:val="00387F22"/>
    <w:rsid w:val="0039114E"/>
    <w:rsid w:val="00393DF9"/>
    <w:rsid w:val="0039419C"/>
    <w:rsid w:val="0039785C"/>
    <w:rsid w:val="003A0EF0"/>
    <w:rsid w:val="003A1724"/>
    <w:rsid w:val="003A339B"/>
    <w:rsid w:val="003A4676"/>
    <w:rsid w:val="003A47A7"/>
    <w:rsid w:val="003A5C8B"/>
    <w:rsid w:val="003A62DD"/>
    <w:rsid w:val="003A6F62"/>
    <w:rsid w:val="003B040F"/>
    <w:rsid w:val="003B0735"/>
    <w:rsid w:val="003B1D97"/>
    <w:rsid w:val="003B22BE"/>
    <w:rsid w:val="003B2737"/>
    <w:rsid w:val="003B35A1"/>
    <w:rsid w:val="003B5129"/>
    <w:rsid w:val="003B581E"/>
    <w:rsid w:val="003B6D32"/>
    <w:rsid w:val="003C118D"/>
    <w:rsid w:val="003C1334"/>
    <w:rsid w:val="003C1A5D"/>
    <w:rsid w:val="003C3677"/>
    <w:rsid w:val="003C4C55"/>
    <w:rsid w:val="003C5E63"/>
    <w:rsid w:val="003C7799"/>
    <w:rsid w:val="003D05E6"/>
    <w:rsid w:val="003D0D4D"/>
    <w:rsid w:val="003D28F6"/>
    <w:rsid w:val="003D45E4"/>
    <w:rsid w:val="003D4B29"/>
    <w:rsid w:val="003D4EB0"/>
    <w:rsid w:val="003D5A87"/>
    <w:rsid w:val="003D5CFE"/>
    <w:rsid w:val="003E1599"/>
    <w:rsid w:val="003E192E"/>
    <w:rsid w:val="003E20EE"/>
    <w:rsid w:val="003E241E"/>
    <w:rsid w:val="003E4158"/>
    <w:rsid w:val="003E45DF"/>
    <w:rsid w:val="003E46FA"/>
    <w:rsid w:val="003F0CCD"/>
    <w:rsid w:val="003F2B3B"/>
    <w:rsid w:val="003F2C88"/>
    <w:rsid w:val="003F5A04"/>
    <w:rsid w:val="003F64A1"/>
    <w:rsid w:val="003F7327"/>
    <w:rsid w:val="00400348"/>
    <w:rsid w:val="00403615"/>
    <w:rsid w:val="00404460"/>
    <w:rsid w:val="0040475F"/>
    <w:rsid w:val="004057E2"/>
    <w:rsid w:val="004073B5"/>
    <w:rsid w:val="00410D46"/>
    <w:rsid w:val="00411E3B"/>
    <w:rsid w:val="00414494"/>
    <w:rsid w:val="004172CB"/>
    <w:rsid w:val="0041796C"/>
    <w:rsid w:val="0042086E"/>
    <w:rsid w:val="004217C4"/>
    <w:rsid w:val="00421FDA"/>
    <w:rsid w:val="004221C9"/>
    <w:rsid w:val="00424C15"/>
    <w:rsid w:val="004272CF"/>
    <w:rsid w:val="0043023C"/>
    <w:rsid w:val="00430D2E"/>
    <w:rsid w:val="00431442"/>
    <w:rsid w:val="0043290A"/>
    <w:rsid w:val="00435118"/>
    <w:rsid w:val="004411D4"/>
    <w:rsid w:val="00441FA1"/>
    <w:rsid w:val="0044526E"/>
    <w:rsid w:val="004463C8"/>
    <w:rsid w:val="00446E4C"/>
    <w:rsid w:val="00452123"/>
    <w:rsid w:val="00456425"/>
    <w:rsid w:val="00460335"/>
    <w:rsid w:val="00460F06"/>
    <w:rsid w:val="00461433"/>
    <w:rsid w:val="00463774"/>
    <w:rsid w:val="004756D2"/>
    <w:rsid w:val="004757CE"/>
    <w:rsid w:val="004767BF"/>
    <w:rsid w:val="00476A19"/>
    <w:rsid w:val="004770B3"/>
    <w:rsid w:val="00477796"/>
    <w:rsid w:val="00480BEA"/>
    <w:rsid w:val="00480E4F"/>
    <w:rsid w:val="0048339B"/>
    <w:rsid w:val="0048354B"/>
    <w:rsid w:val="00483AB1"/>
    <w:rsid w:val="00483B0D"/>
    <w:rsid w:val="00484414"/>
    <w:rsid w:val="00484434"/>
    <w:rsid w:val="00484650"/>
    <w:rsid w:val="00487020"/>
    <w:rsid w:val="004900BF"/>
    <w:rsid w:val="00490351"/>
    <w:rsid w:val="00490558"/>
    <w:rsid w:val="004908BA"/>
    <w:rsid w:val="004909EA"/>
    <w:rsid w:val="00492CDC"/>
    <w:rsid w:val="00493D62"/>
    <w:rsid w:val="00493D69"/>
    <w:rsid w:val="00495B28"/>
    <w:rsid w:val="00497821"/>
    <w:rsid w:val="00497870"/>
    <w:rsid w:val="004A064F"/>
    <w:rsid w:val="004A0D69"/>
    <w:rsid w:val="004A2198"/>
    <w:rsid w:val="004A28BA"/>
    <w:rsid w:val="004A3D6D"/>
    <w:rsid w:val="004A45ED"/>
    <w:rsid w:val="004A7224"/>
    <w:rsid w:val="004A7930"/>
    <w:rsid w:val="004B70E5"/>
    <w:rsid w:val="004B78A5"/>
    <w:rsid w:val="004B7A5B"/>
    <w:rsid w:val="004B7D2D"/>
    <w:rsid w:val="004C09D9"/>
    <w:rsid w:val="004C0A13"/>
    <w:rsid w:val="004C0D10"/>
    <w:rsid w:val="004C1710"/>
    <w:rsid w:val="004C4FB1"/>
    <w:rsid w:val="004C60BE"/>
    <w:rsid w:val="004D0657"/>
    <w:rsid w:val="004D409E"/>
    <w:rsid w:val="004D423C"/>
    <w:rsid w:val="004D570F"/>
    <w:rsid w:val="004E093E"/>
    <w:rsid w:val="004E1550"/>
    <w:rsid w:val="004E2FD2"/>
    <w:rsid w:val="004E3165"/>
    <w:rsid w:val="004E3967"/>
    <w:rsid w:val="004E3A79"/>
    <w:rsid w:val="004E465E"/>
    <w:rsid w:val="004E5681"/>
    <w:rsid w:val="004E5A71"/>
    <w:rsid w:val="004E643A"/>
    <w:rsid w:val="004E67F8"/>
    <w:rsid w:val="004E702B"/>
    <w:rsid w:val="004F2209"/>
    <w:rsid w:val="004F25F6"/>
    <w:rsid w:val="004F494F"/>
    <w:rsid w:val="004F5813"/>
    <w:rsid w:val="004F5C53"/>
    <w:rsid w:val="004F6F6E"/>
    <w:rsid w:val="0050050A"/>
    <w:rsid w:val="00500A69"/>
    <w:rsid w:val="00503F14"/>
    <w:rsid w:val="00504589"/>
    <w:rsid w:val="005046FD"/>
    <w:rsid w:val="00506514"/>
    <w:rsid w:val="00507C13"/>
    <w:rsid w:val="00507E8D"/>
    <w:rsid w:val="005101EA"/>
    <w:rsid w:val="005119DB"/>
    <w:rsid w:val="00512ED2"/>
    <w:rsid w:val="00514248"/>
    <w:rsid w:val="00515273"/>
    <w:rsid w:val="00516A40"/>
    <w:rsid w:val="005170FF"/>
    <w:rsid w:val="00520916"/>
    <w:rsid w:val="005216DA"/>
    <w:rsid w:val="0052368F"/>
    <w:rsid w:val="00524E83"/>
    <w:rsid w:val="00532CAA"/>
    <w:rsid w:val="0053376A"/>
    <w:rsid w:val="00534685"/>
    <w:rsid w:val="00534F1B"/>
    <w:rsid w:val="00535EF8"/>
    <w:rsid w:val="005360D4"/>
    <w:rsid w:val="005427C5"/>
    <w:rsid w:val="00542ED0"/>
    <w:rsid w:val="00543895"/>
    <w:rsid w:val="00543E86"/>
    <w:rsid w:val="00544405"/>
    <w:rsid w:val="00544547"/>
    <w:rsid w:val="00545FBF"/>
    <w:rsid w:val="005460B6"/>
    <w:rsid w:val="0054632C"/>
    <w:rsid w:val="00552297"/>
    <w:rsid w:val="005529DD"/>
    <w:rsid w:val="00552FCD"/>
    <w:rsid w:val="00553AC2"/>
    <w:rsid w:val="00553AE4"/>
    <w:rsid w:val="0055701A"/>
    <w:rsid w:val="00557BDD"/>
    <w:rsid w:val="0056160C"/>
    <w:rsid w:val="00564D69"/>
    <w:rsid w:val="0056549D"/>
    <w:rsid w:val="00567B19"/>
    <w:rsid w:val="00567D29"/>
    <w:rsid w:val="00570B77"/>
    <w:rsid w:val="00571A98"/>
    <w:rsid w:val="00572B3F"/>
    <w:rsid w:val="00574EAB"/>
    <w:rsid w:val="0058053C"/>
    <w:rsid w:val="0058346B"/>
    <w:rsid w:val="0058362C"/>
    <w:rsid w:val="00583C0F"/>
    <w:rsid w:val="00586164"/>
    <w:rsid w:val="0059348F"/>
    <w:rsid w:val="00593580"/>
    <w:rsid w:val="00593A06"/>
    <w:rsid w:val="005965F3"/>
    <w:rsid w:val="005A166B"/>
    <w:rsid w:val="005A1A20"/>
    <w:rsid w:val="005A21F7"/>
    <w:rsid w:val="005A5723"/>
    <w:rsid w:val="005A5977"/>
    <w:rsid w:val="005B0A6B"/>
    <w:rsid w:val="005B0CDF"/>
    <w:rsid w:val="005B2BA4"/>
    <w:rsid w:val="005B3E19"/>
    <w:rsid w:val="005B7F01"/>
    <w:rsid w:val="005C150D"/>
    <w:rsid w:val="005C735A"/>
    <w:rsid w:val="005C7EA1"/>
    <w:rsid w:val="005C7F6B"/>
    <w:rsid w:val="005D01D3"/>
    <w:rsid w:val="005D22FC"/>
    <w:rsid w:val="005D5685"/>
    <w:rsid w:val="005D6B07"/>
    <w:rsid w:val="005E0DC4"/>
    <w:rsid w:val="005E3EAB"/>
    <w:rsid w:val="005E6368"/>
    <w:rsid w:val="005E6A15"/>
    <w:rsid w:val="005E6C81"/>
    <w:rsid w:val="005F0398"/>
    <w:rsid w:val="005F08E1"/>
    <w:rsid w:val="005F08FA"/>
    <w:rsid w:val="005F1199"/>
    <w:rsid w:val="005F126E"/>
    <w:rsid w:val="005F5A15"/>
    <w:rsid w:val="005F7B36"/>
    <w:rsid w:val="00600204"/>
    <w:rsid w:val="006005F6"/>
    <w:rsid w:val="0060080E"/>
    <w:rsid w:val="00600889"/>
    <w:rsid w:val="00600B0E"/>
    <w:rsid w:val="00601769"/>
    <w:rsid w:val="00601D4E"/>
    <w:rsid w:val="006051A3"/>
    <w:rsid w:val="006065F4"/>
    <w:rsid w:val="00606C1F"/>
    <w:rsid w:val="00610F18"/>
    <w:rsid w:val="00612E39"/>
    <w:rsid w:val="0061363E"/>
    <w:rsid w:val="00614991"/>
    <w:rsid w:val="00616D57"/>
    <w:rsid w:val="00617559"/>
    <w:rsid w:val="00617B07"/>
    <w:rsid w:val="00620733"/>
    <w:rsid w:val="00620F15"/>
    <w:rsid w:val="00623254"/>
    <w:rsid w:val="00623C7F"/>
    <w:rsid w:val="00623C90"/>
    <w:rsid w:val="00624831"/>
    <w:rsid w:val="00624F81"/>
    <w:rsid w:val="00625556"/>
    <w:rsid w:val="00625B69"/>
    <w:rsid w:val="006309C2"/>
    <w:rsid w:val="00630C96"/>
    <w:rsid w:val="00631268"/>
    <w:rsid w:val="00632BF3"/>
    <w:rsid w:val="00633B9B"/>
    <w:rsid w:val="00633C27"/>
    <w:rsid w:val="00636070"/>
    <w:rsid w:val="00643BF7"/>
    <w:rsid w:val="00645178"/>
    <w:rsid w:val="006461BE"/>
    <w:rsid w:val="00647018"/>
    <w:rsid w:val="006477CF"/>
    <w:rsid w:val="0065065D"/>
    <w:rsid w:val="0065617F"/>
    <w:rsid w:val="0065757E"/>
    <w:rsid w:val="006619BD"/>
    <w:rsid w:val="00661E32"/>
    <w:rsid w:val="00662D7B"/>
    <w:rsid w:val="00663141"/>
    <w:rsid w:val="00666DBC"/>
    <w:rsid w:val="006677BF"/>
    <w:rsid w:val="006679F2"/>
    <w:rsid w:val="0067309F"/>
    <w:rsid w:val="00676B4D"/>
    <w:rsid w:val="006776BD"/>
    <w:rsid w:val="006805EB"/>
    <w:rsid w:val="006809A1"/>
    <w:rsid w:val="00680ACB"/>
    <w:rsid w:val="00684C5D"/>
    <w:rsid w:val="00686F50"/>
    <w:rsid w:val="006921ED"/>
    <w:rsid w:val="00694582"/>
    <w:rsid w:val="00694BBA"/>
    <w:rsid w:val="00695691"/>
    <w:rsid w:val="006959D3"/>
    <w:rsid w:val="006960CE"/>
    <w:rsid w:val="00697AC2"/>
    <w:rsid w:val="006A0C31"/>
    <w:rsid w:val="006A2654"/>
    <w:rsid w:val="006A3848"/>
    <w:rsid w:val="006B03A6"/>
    <w:rsid w:val="006B17C3"/>
    <w:rsid w:val="006B2B51"/>
    <w:rsid w:val="006B4681"/>
    <w:rsid w:val="006B5D21"/>
    <w:rsid w:val="006B6891"/>
    <w:rsid w:val="006B7F4A"/>
    <w:rsid w:val="006C1FE9"/>
    <w:rsid w:val="006C4A8E"/>
    <w:rsid w:val="006C58BD"/>
    <w:rsid w:val="006C62E9"/>
    <w:rsid w:val="006C667C"/>
    <w:rsid w:val="006D46AE"/>
    <w:rsid w:val="006D6111"/>
    <w:rsid w:val="006D7D6E"/>
    <w:rsid w:val="006E0E0E"/>
    <w:rsid w:val="006E23AD"/>
    <w:rsid w:val="006E2634"/>
    <w:rsid w:val="006E2EE2"/>
    <w:rsid w:val="006E46AA"/>
    <w:rsid w:val="006E55AF"/>
    <w:rsid w:val="006E601C"/>
    <w:rsid w:val="006E697B"/>
    <w:rsid w:val="006E6CBA"/>
    <w:rsid w:val="006E6FFA"/>
    <w:rsid w:val="006F2230"/>
    <w:rsid w:val="006F3807"/>
    <w:rsid w:val="006F4D23"/>
    <w:rsid w:val="006F590B"/>
    <w:rsid w:val="006F726D"/>
    <w:rsid w:val="006F7FEA"/>
    <w:rsid w:val="00701D5E"/>
    <w:rsid w:val="00702278"/>
    <w:rsid w:val="0070752B"/>
    <w:rsid w:val="00710EA0"/>
    <w:rsid w:val="0071300A"/>
    <w:rsid w:val="00713732"/>
    <w:rsid w:val="007137B9"/>
    <w:rsid w:val="00713991"/>
    <w:rsid w:val="00713D27"/>
    <w:rsid w:val="0071528C"/>
    <w:rsid w:val="0071684A"/>
    <w:rsid w:val="00717865"/>
    <w:rsid w:val="00717F88"/>
    <w:rsid w:val="0072016E"/>
    <w:rsid w:val="0072022A"/>
    <w:rsid w:val="0072022F"/>
    <w:rsid w:val="00722CD9"/>
    <w:rsid w:val="00722DCE"/>
    <w:rsid w:val="00723B00"/>
    <w:rsid w:val="0072648B"/>
    <w:rsid w:val="0072701F"/>
    <w:rsid w:val="007327F1"/>
    <w:rsid w:val="007363C8"/>
    <w:rsid w:val="00737568"/>
    <w:rsid w:val="007376C1"/>
    <w:rsid w:val="007415D1"/>
    <w:rsid w:val="007417F9"/>
    <w:rsid w:val="00742E42"/>
    <w:rsid w:val="007445F4"/>
    <w:rsid w:val="0074559E"/>
    <w:rsid w:val="00747D9E"/>
    <w:rsid w:val="0075108B"/>
    <w:rsid w:val="00751447"/>
    <w:rsid w:val="0075331B"/>
    <w:rsid w:val="00753DE2"/>
    <w:rsid w:val="00754F68"/>
    <w:rsid w:val="007551AA"/>
    <w:rsid w:val="00755C9D"/>
    <w:rsid w:val="00761F80"/>
    <w:rsid w:val="00765D3D"/>
    <w:rsid w:val="007665CF"/>
    <w:rsid w:val="007666A6"/>
    <w:rsid w:val="00766780"/>
    <w:rsid w:val="0077061A"/>
    <w:rsid w:val="00772D03"/>
    <w:rsid w:val="007765A9"/>
    <w:rsid w:val="00777F41"/>
    <w:rsid w:val="0078047F"/>
    <w:rsid w:val="00781C70"/>
    <w:rsid w:val="007825CD"/>
    <w:rsid w:val="00784A27"/>
    <w:rsid w:val="00784B40"/>
    <w:rsid w:val="00786253"/>
    <w:rsid w:val="0078633C"/>
    <w:rsid w:val="007907CC"/>
    <w:rsid w:val="0079170C"/>
    <w:rsid w:val="00792F38"/>
    <w:rsid w:val="00794035"/>
    <w:rsid w:val="0079523A"/>
    <w:rsid w:val="00796DD8"/>
    <w:rsid w:val="0079711F"/>
    <w:rsid w:val="00797CA1"/>
    <w:rsid w:val="007A04F7"/>
    <w:rsid w:val="007A1B5F"/>
    <w:rsid w:val="007A202D"/>
    <w:rsid w:val="007A30CC"/>
    <w:rsid w:val="007A65A2"/>
    <w:rsid w:val="007B050E"/>
    <w:rsid w:val="007B092C"/>
    <w:rsid w:val="007B109C"/>
    <w:rsid w:val="007B1385"/>
    <w:rsid w:val="007B1AB9"/>
    <w:rsid w:val="007B312F"/>
    <w:rsid w:val="007B3AD0"/>
    <w:rsid w:val="007C2703"/>
    <w:rsid w:val="007C3118"/>
    <w:rsid w:val="007C54B3"/>
    <w:rsid w:val="007D1B9B"/>
    <w:rsid w:val="007D2C91"/>
    <w:rsid w:val="007D3C7D"/>
    <w:rsid w:val="007D41DE"/>
    <w:rsid w:val="007D4B05"/>
    <w:rsid w:val="007D5BAE"/>
    <w:rsid w:val="007D5C12"/>
    <w:rsid w:val="007D6FE7"/>
    <w:rsid w:val="007D7C71"/>
    <w:rsid w:val="007E37DA"/>
    <w:rsid w:val="007E59DF"/>
    <w:rsid w:val="007E61B0"/>
    <w:rsid w:val="007F1306"/>
    <w:rsid w:val="007F371A"/>
    <w:rsid w:val="007F6341"/>
    <w:rsid w:val="007F70EC"/>
    <w:rsid w:val="007F71D9"/>
    <w:rsid w:val="008001EC"/>
    <w:rsid w:val="00800E2D"/>
    <w:rsid w:val="00801257"/>
    <w:rsid w:val="00801F13"/>
    <w:rsid w:val="008031C5"/>
    <w:rsid w:val="00804124"/>
    <w:rsid w:val="00804140"/>
    <w:rsid w:val="00804346"/>
    <w:rsid w:val="00804C20"/>
    <w:rsid w:val="00806387"/>
    <w:rsid w:val="00806959"/>
    <w:rsid w:val="00812161"/>
    <w:rsid w:val="00812191"/>
    <w:rsid w:val="008126EB"/>
    <w:rsid w:val="008130AD"/>
    <w:rsid w:val="00814AEA"/>
    <w:rsid w:val="00814D24"/>
    <w:rsid w:val="00815581"/>
    <w:rsid w:val="00817331"/>
    <w:rsid w:val="008201A1"/>
    <w:rsid w:val="00821183"/>
    <w:rsid w:val="008235C3"/>
    <w:rsid w:val="0082370B"/>
    <w:rsid w:val="00825B32"/>
    <w:rsid w:val="0083238F"/>
    <w:rsid w:val="008345EB"/>
    <w:rsid w:val="00835BE6"/>
    <w:rsid w:val="00837025"/>
    <w:rsid w:val="00837BB5"/>
    <w:rsid w:val="0084020F"/>
    <w:rsid w:val="00840E5A"/>
    <w:rsid w:val="00847BF7"/>
    <w:rsid w:val="00851288"/>
    <w:rsid w:val="00851825"/>
    <w:rsid w:val="00853548"/>
    <w:rsid w:val="00854E1F"/>
    <w:rsid w:val="00854FAC"/>
    <w:rsid w:val="00854FB0"/>
    <w:rsid w:val="00855BAC"/>
    <w:rsid w:val="008572CE"/>
    <w:rsid w:val="008606A3"/>
    <w:rsid w:val="00862885"/>
    <w:rsid w:val="00862AAD"/>
    <w:rsid w:val="00863C8F"/>
    <w:rsid w:val="0086542A"/>
    <w:rsid w:val="00865760"/>
    <w:rsid w:val="0086638C"/>
    <w:rsid w:val="00866843"/>
    <w:rsid w:val="0086710D"/>
    <w:rsid w:val="008672D1"/>
    <w:rsid w:val="008673EE"/>
    <w:rsid w:val="008700E7"/>
    <w:rsid w:val="00870C68"/>
    <w:rsid w:val="00871614"/>
    <w:rsid w:val="00871E52"/>
    <w:rsid w:val="00873486"/>
    <w:rsid w:val="00874639"/>
    <w:rsid w:val="0087775D"/>
    <w:rsid w:val="00880C4C"/>
    <w:rsid w:val="0088112D"/>
    <w:rsid w:val="008821CE"/>
    <w:rsid w:val="00882670"/>
    <w:rsid w:val="00882B75"/>
    <w:rsid w:val="00882C2C"/>
    <w:rsid w:val="00883193"/>
    <w:rsid w:val="0088521E"/>
    <w:rsid w:val="00885ACC"/>
    <w:rsid w:val="00885D37"/>
    <w:rsid w:val="0088774C"/>
    <w:rsid w:val="008935B5"/>
    <w:rsid w:val="00894F37"/>
    <w:rsid w:val="00896920"/>
    <w:rsid w:val="008969C3"/>
    <w:rsid w:val="008A03AD"/>
    <w:rsid w:val="008A0F5A"/>
    <w:rsid w:val="008A142C"/>
    <w:rsid w:val="008A3508"/>
    <w:rsid w:val="008A53B2"/>
    <w:rsid w:val="008A6954"/>
    <w:rsid w:val="008A7023"/>
    <w:rsid w:val="008B02CA"/>
    <w:rsid w:val="008B050A"/>
    <w:rsid w:val="008B15BD"/>
    <w:rsid w:val="008B30A4"/>
    <w:rsid w:val="008B4B7A"/>
    <w:rsid w:val="008B718D"/>
    <w:rsid w:val="008B76B1"/>
    <w:rsid w:val="008C0DD0"/>
    <w:rsid w:val="008C147E"/>
    <w:rsid w:val="008C1C7C"/>
    <w:rsid w:val="008C4203"/>
    <w:rsid w:val="008C6674"/>
    <w:rsid w:val="008C7D49"/>
    <w:rsid w:val="008D041D"/>
    <w:rsid w:val="008D1B45"/>
    <w:rsid w:val="008D455A"/>
    <w:rsid w:val="008D4662"/>
    <w:rsid w:val="008D469C"/>
    <w:rsid w:val="008D71CD"/>
    <w:rsid w:val="008D7571"/>
    <w:rsid w:val="008E2D1E"/>
    <w:rsid w:val="008E3A9E"/>
    <w:rsid w:val="008E7F17"/>
    <w:rsid w:val="008F01B3"/>
    <w:rsid w:val="008F1AFD"/>
    <w:rsid w:val="008F3477"/>
    <w:rsid w:val="008F4557"/>
    <w:rsid w:val="008F569D"/>
    <w:rsid w:val="00901296"/>
    <w:rsid w:val="00902DC8"/>
    <w:rsid w:val="00906190"/>
    <w:rsid w:val="009068C5"/>
    <w:rsid w:val="00911064"/>
    <w:rsid w:val="0091273E"/>
    <w:rsid w:val="00912E56"/>
    <w:rsid w:val="009136D3"/>
    <w:rsid w:val="00913CD5"/>
    <w:rsid w:val="0091484A"/>
    <w:rsid w:val="00914BE4"/>
    <w:rsid w:val="00922379"/>
    <w:rsid w:val="00923067"/>
    <w:rsid w:val="00925449"/>
    <w:rsid w:val="00926F8E"/>
    <w:rsid w:val="00927706"/>
    <w:rsid w:val="00927824"/>
    <w:rsid w:val="0093216B"/>
    <w:rsid w:val="00933123"/>
    <w:rsid w:val="00933F47"/>
    <w:rsid w:val="0093508A"/>
    <w:rsid w:val="009353A5"/>
    <w:rsid w:val="009355F4"/>
    <w:rsid w:val="0093655C"/>
    <w:rsid w:val="00936802"/>
    <w:rsid w:val="00936CBA"/>
    <w:rsid w:val="0093721B"/>
    <w:rsid w:val="009373F7"/>
    <w:rsid w:val="00937CE4"/>
    <w:rsid w:val="00940227"/>
    <w:rsid w:val="00942CDA"/>
    <w:rsid w:val="00943B27"/>
    <w:rsid w:val="00944F68"/>
    <w:rsid w:val="00945165"/>
    <w:rsid w:val="009476E2"/>
    <w:rsid w:val="00947C06"/>
    <w:rsid w:val="00951CA6"/>
    <w:rsid w:val="00952BBB"/>
    <w:rsid w:val="009552F0"/>
    <w:rsid w:val="0095727D"/>
    <w:rsid w:val="00960A1A"/>
    <w:rsid w:val="00960E99"/>
    <w:rsid w:val="00966E45"/>
    <w:rsid w:val="0096708D"/>
    <w:rsid w:val="00970091"/>
    <w:rsid w:val="00970256"/>
    <w:rsid w:val="009705C5"/>
    <w:rsid w:val="00970DD7"/>
    <w:rsid w:val="009711D1"/>
    <w:rsid w:val="0097217F"/>
    <w:rsid w:val="00973C20"/>
    <w:rsid w:val="00975743"/>
    <w:rsid w:val="00975D8E"/>
    <w:rsid w:val="00975F1B"/>
    <w:rsid w:val="009802EA"/>
    <w:rsid w:val="0098131A"/>
    <w:rsid w:val="00981888"/>
    <w:rsid w:val="00981C48"/>
    <w:rsid w:val="00982398"/>
    <w:rsid w:val="00982C08"/>
    <w:rsid w:val="0098424C"/>
    <w:rsid w:val="00984864"/>
    <w:rsid w:val="00985D4E"/>
    <w:rsid w:val="00986CB5"/>
    <w:rsid w:val="00987FC0"/>
    <w:rsid w:val="00990A78"/>
    <w:rsid w:val="00991206"/>
    <w:rsid w:val="0099426F"/>
    <w:rsid w:val="009A6568"/>
    <w:rsid w:val="009B0DD2"/>
    <w:rsid w:val="009B1D4A"/>
    <w:rsid w:val="009B1E22"/>
    <w:rsid w:val="009B250A"/>
    <w:rsid w:val="009B73AB"/>
    <w:rsid w:val="009B794C"/>
    <w:rsid w:val="009C1BE8"/>
    <w:rsid w:val="009C393A"/>
    <w:rsid w:val="009D52BF"/>
    <w:rsid w:val="009D77C0"/>
    <w:rsid w:val="009E0409"/>
    <w:rsid w:val="009E0C22"/>
    <w:rsid w:val="009E1871"/>
    <w:rsid w:val="009E3947"/>
    <w:rsid w:val="009E4043"/>
    <w:rsid w:val="009E4AF7"/>
    <w:rsid w:val="009E5430"/>
    <w:rsid w:val="009E5CC2"/>
    <w:rsid w:val="009E5D5B"/>
    <w:rsid w:val="009E6103"/>
    <w:rsid w:val="009E75A5"/>
    <w:rsid w:val="009F2154"/>
    <w:rsid w:val="009F2667"/>
    <w:rsid w:val="009F2800"/>
    <w:rsid w:val="009F32F1"/>
    <w:rsid w:val="009F3B86"/>
    <w:rsid w:val="009F3EF3"/>
    <w:rsid w:val="009F4D70"/>
    <w:rsid w:val="009F6235"/>
    <w:rsid w:val="009F7089"/>
    <w:rsid w:val="00A02C35"/>
    <w:rsid w:val="00A03490"/>
    <w:rsid w:val="00A049E5"/>
    <w:rsid w:val="00A057C6"/>
    <w:rsid w:val="00A07E13"/>
    <w:rsid w:val="00A1095C"/>
    <w:rsid w:val="00A10E36"/>
    <w:rsid w:val="00A12193"/>
    <w:rsid w:val="00A1363C"/>
    <w:rsid w:val="00A13B02"/>
    <w:rsid w:val="00A1773D"/>
    <w:rsid w:val="00A17E81"/>
    <w:rsid w:val="00A21882"/>
    <w:rsid w:val="00A21F14"/>
    <w:rsid w:val="00A22012"/>
    <w:rsid w:val="00A223BA"/>
    <w:rsid w:val="00A23906"/>
    <w:rsid w:val="00A23DC4"/>
    <w:rsid w:val="00A25957"/>
    <w:rsid w:val="00A25A2D"/>
    <w:rsid w:val="00A2728E"/>
    <w:rsid w:val="00A30BE8"/>
    <w:rsid w:val="00A31883"/>
    <w:rsid w:val="00A31AEA"/>
    <w:rsid w:val="00A35F58"/>
    <w:rsid w:val="00A40369"/>
    <w:rsid w:val="00A43460"/>
    <w:rsid w:val="00A44AC4"/>
    <w:rsid w:val="00A44CA5"/>
    <w:rsid w:val="00A452F4"/>
    <w:rsid w:val="00A466EF"/>
    <w:rsid w:val="00A46A46"/>
    <w:rsid w:val="00A50048"/>
    <w:rsid w:val="00A50E5F"/>
    <w:rsid w:val="00A55F27"/>
    <w:rsid w:val="00A56EC3"/>
    <w:rsid w:val="00A61453"/>
    <w:rsid w:val="00A61A88"/>
    <w:rsid w:val="00A636D2"/>
    <w:rsid w:val="00A65593"/>
    <w:rsid w:val="00A65CE3"/>
    <w:rsid w:val="00A6611F"/>
    <w:rsid w:val="00A671B3"/>
    <w:rsid w:val="00A70B19"/>
    <w:rsid w:val="00A71B6B"/>
    <w:rsid w:val="00A76C96"/>
    <w:rsid w:val="00A84475"/>
    <w:rsid w:val="00A845B4"/>
    <w:rsid w:val="00A8583D"/>
    <w:rsid w:val="00A85C7C"/>
    <w:rsid w:val="00A87D6D"/>
    <w:rsid w:val="00A87DAE"/>
    <w:rsid w:val="00A903A4"/>
    <w:rsid w:val="00AA40B7"/>
    <w:rsid w:val="00AA46EE"/>
    <w:rsid w:val="00AA4A13"/>
    <w:rsid w:val="00AA6A3C"/>
    <w:rsid w:val="00AB1B8C"/>
    <w:rsid w:val="00AB1F36"/>
    <w:rsid w:val="00AB58FB"/>
    <w:rsid w:val="00AC0E67"/>
    <w:rsid w:val="00AC590B"/>
    <w:rsid w:val="00AC7786"/>
    <w:rsid w:val="00AD039B"/>
    <w:rsid w:val="00AD1A5D"/>
    <w:rsid w:val="00AD3DEC"/>
    <w:rsid w:val="00AD4C8C"/>
    <w:rsid w:val="00AD4E99"/>
    <w:rsid w:val="00AD6818"/>
    <w:rsid w:val="00AE0588"/>
    <w:rsid w:val="00AE173E"/>
    <w:rsid w:val="00AE1D2B"/>
    <w:rsid w:val="00AE2F5A"/>
    <w:rsid w:val="00AE4B49"/>
    <w:rsid w:val="00AE5222"/>
    <w:rsid w:val="00AE5279"/>
    <w:rsid w:val="00AE657E"/>
    <w:rsid w:val="00AF1625"/>
    <w:rsid w:val="00AF1B70"/>
    <w:rsid w:val="00AF396A"/>
    <w:rsid w:val="00AF43EC"/>
    <w:rsid w:val="00AF4AEE"/>
    <w:rsid w:val="00AF6F69"/>
    <w:rsid w:val="00B03850"/>
    <w:rsid w:val="00B04634"/>
    <w:rsid w:val="00B057F9"/>
    <w:rsid w:val="00B05F3B"/>
    <w:rsid w:val="00B12B25"/>
    <w:rsid w:val="00B1377D"/>
    <w:rsid w:val="00B150BF"/>
    <w:rsid w:val="00B152E3"/>
    <w:rsid w:val="00B15F0B"/>
    <w:rsid w:val="00B16308"/>
    <w:rsid w:val="00B20D65"/>
    <w:rsid w:val="00B22449"/>
    <w:rsid w:val="00B2474D"/>
    <w:rsid w:val="00B24BFD"/>
    <w:rsid w:val="00B2661B"/>
    <w:rsid w:val="00B2767C"/>
    <w:rsid w:val="00B32B73"/>
    <w:rsid w:val="00B32DC6"/>
    <w:rsid w:val="00B3425E"/>
    <w:rsid w:val="00B347A6"/>
    <w:rsid w:val="00B35803"/>
    <w:rsid w:val="00B35EAC"/>
    <w:rsid w:val="00B36527"/>
    <w:rsid w:val="00B368E4"/>
    <w:rsid w:val="00B40DE2"/>
    <w:rsid w:val="00B42043"/>
    <w:rsid w:val="00B42DF5"/>
    <w:rsid w:val="00B43C01"/>
    <w:rsid w:val="00B4644E"/>
    <w:rsid w:val="00B50078"/>
    <w:rsid w:val="00B53EFF"/>
    <w:rsid w:val="00B54C6C"/>
    <w:rsid w:val="00B55450"/>
    <w:rsid w:val="00B55B44"/>
    <w:rsid w:val="00B57C33"/>
    <w:rsid w:val="00B61313"/>
    <w:rsid w:val="00B6404B"/>
    <w:rsid w:val="00B66043"/>
    <w:rsid w:val="00B6753B"/>
    <w:rsid w:val="00B70AFA"/>
    <w:rsid w:val="00B70B9E"/>
    <w:rsid w:val="00B70DCA"/>
    <w:rsid w:val="00B74AB9"/>
    <w:rsid w:val="00B756B9"/>
    <w:rsid w:val="00B81D6E"/>
    <w:rsid w:val="00B825DD"/>
    <w:rsid w:val="00B8312F"/>
    <w:rsid w:val="00B835BE"/>
    <w:rsid w:val="00B84865"/>
    <w:rsid w:val="00B85206"/>
    <w:rsid w:val="00B86255"/>
    <w:rsid w:val="00B9370B"/>
    <w:rsid w:val="00B93F0C"/>
    <w:rsid w:val="00B96AF7"/>
    <w:rsid w:val="00B979C8"/>
    <w:rsid w:val="00BA0A47"/>
    <w:rsid w:val="00BA0E19"/>
    <w:rsid w:val="00BA137B"/>
    <w:rsid w:val="00BA2247"/>
    <w:rsid w:val="00BA243F"/>
    <w:rsid w:val="00BA2EF9"/>
    <w:rsid w:val="00BA3C18"/>
    <w:rsid w:val="00BA3FF3"/>
    <w:rsid w:val="00BA5FDE"/>
    <w:rsid w:val="00BA70A4"/>
    <w:rsid w:val="00BB0F6E"/>
    <w:rsid w:val="00BB1C9D"/>
    <w:rsid w:val="00BB6B40"/>
    <w:rsid w:val="00BB73EB"/>
    <w:rsid w:val="00BB74D9"/>
    <w:rsid w:val="00BB7CFA"/>
    <w:rsid w:val="00BC17D2"/>
    <w:rsid w:val="00BC2B49"/>
    <w:rsid w:val="00BC3B23"/>
    <w:rsid w:val="00BC3EA1"/>
    <w:rsid w:val="00BC489F"/>
    <w:rsid w:val="00BC5E00"/>
    <w:rsid w:val="00BC68FE"/>
    <w:rsid w:val="00BC766A"/>
    <w:rsid w:val="00BD0219"/>
    <w:rsid w:val="00BD1119"/>
    <w:rsid w:val="00BD2328"/>
    <w:rsid w:val="00BD2E38"/>
    <w:rsid w:val="00BD2E44"/>
    <w:rsid w:val="00BD50B5"/>
    <w:rsid w:val="00BE0EAF"/>
    <w:rsid w:val="00BE3794"/>
    <w:rsid w:val="00BE39C8"/>
    <w:rsid w:val="00BE3C24"/>
    <w:rsid w:val="00BE5BB5"/>
    <w:rsid w:val="00BE74A4"/>
    <w:rsid w:val="00BE760B"/>
    <w:rsid w:val="00BF0D0F"/>
    <w:rsid w:val="00BF10C9"/>
    <w:rsid w:val="00BF23B8"/>
    <w:rsid w:val="00BF24F1"/>
    <w:rsid w:val="00BF25AD"/>
    <w:rsid w:val="00BF4E74"/>
    <w:rsid w:val="00C01D9E"/>
    <w:rsid w:val="00C02541"/>
    <w:rsid w:val="00C02787"/>
    <w:rsid w:val="00C02AA4"/>
    <w:rsid w:val="00C04B03"/>
    <w:rsid w:val="00C10E41"/>
    <w:rsid w:val="00C11715"/>
    <w:rsid w:val="00C1248F"/>
    <w:rsid w:val="00C12B87"/>
    <w:rsid w:val="00C13B87"/>
    <w:rsid w:val="00C13DFD"/>
    <w:rsid w:val="00C14E53"/>
    <w:rsid w:val="00C15264"/>
    <w:rsid w:val="00C15CED"/>
    <w:rsid w:val="00C1634B"/>
    <w:rsid w:val="00C201D0"/>
    <w:rsid w:val="00C23CAF"/>
    <w:rsid w:val="00C23CD9"/>
    <w:rsid w:val="00C2466C"/>
    <w:rsid w:val="00C27F7D"/>
    <w:rsid w:val="00C314F1"/>
    <w:rsid w:val="00C32036"/>
    <w:rsid w:val="00C327A2"/>
    <w:rsid w:val="00C33200"/>
    <w:rsid w:val="00C34A90"/>
    <w:rsid w:val="00C357D7"/>
    <w:rsid w:val="00C37435"/>
    <w:rsid w:val="00C40AC3"/>
    <w:rsid w:val="00C4103C"/>
    <w:rsid w:val="00C41275"/>
    <w:rsid w:val="00C44D69"/>
    <w:rsid w:val="00C44F8A"/>
    <w:rsid w:val="00C456F3"/>
    <w:rsid w:val="00C45BD5"/>
    <w:rsid w:val="00C45FCB"/>
    <w:rsid w:val="00C46538"/>
    <w:rsid w:val="00C4677C"/>
    <w:rsid w:val="00C46C8C"/>
    <w:rsid w:val="00C479E0"/>
    <w:rsid w:val="00C50BF1"/>
    <w:rsid w:val="00C51213"/>
    <w:rsid w:val="00C517E8"/>
    <w:rsid w:val="00C51A58"/>
    <w:rsid w:val="00C52D44"/>
    <w:rsid w:val="00C534CF"/>
    <w:rsid w:val="00C538B3"/>
    <w:rsid w:val="00C5434B"/>
    <w:rsid w:val="00C54868"/>
    <w:rsid w:val="00C56823"/>
    <w:rsid w:val="00C57710"/>
    <w:rsid w:val="00C60B1A"/>
    <w:rsid w:val="00C625BE"/>
    <w:rsid w:val="00C625C2"/>
    <w:rsid w:val="00C62928"/>
    <w:rsid w:val="00C632D9"/>
    <w:rsid w:val="00C6532A"/>
    <w:rsid w:val="00C715D2"/>
    <w:rsid w:val="00C72AF6"/>
    <w:rsid w:val="00C73479"/>
    <w:rsid w:val="00C73B5E"/>
    <w:rsid w:val="00C75365"/>
    <w:rsid w:val="00C75A77"/>
    <w:rsid w:val="00C76E04"/>
    <w:rsid w:val="00C80399"/>
    <w:rsid w:val="00C80A3B"/>
    <w:rsid w:val="00C80B55"/>
    <w:rsid w:val="00C82696"/>
    <w:rsid w:val="00C83839"/>
    <w:rsid w:val="00C846A2"/>
    <w:rsid w:val="00C86DAC"/>
    <w:rsid w:val="00C902B1"/>
    <w:rsid w:val="00C975D8"/>
    <w:rsid w:val="00CA0698"/>
    <w:rsid w:val="00CA2497"/>
    <w:rsid w:val="00CA4015"/>
    <w:rsid w:val="00CA42EF"/>
    <w:rsid w:val="00CA4AC4"/>
    <w:rsid w:val="00CA53C5"/>
    <w:rsid w:val="00CA5B19"/>
    <w:rsid w:val="00CA7720"/>
    <w:rsid w:val="00CB1B49"/>
    <w:rsid w:val="00CB1D3F"/>
    <w:rsid w:val="00CB54E7"/>
    <w:rsid w:val="00CB65EC"/>
    <w:rsid w:val="00CB7594"/>
    <w:rsid w:val="00CC20D8"/>
    <w:rsid w:val="00CC2E83"/>
    <w:rsid w:val="00CC3D4C"/>
    <w:rsid w:val="00CC44AD"/>
    <w:rsid w:val="00CC768E"/>
    <w:rsid w:val="00CC7AFF"/>
    <w:rsid w:val="00CC7B1E"/>
    <w:rsid w:val="00CD1B82"/>
    <w:rsid w:val="00CD1B8B"/>
    <w:rsid w:val="00CD2DC0"/>
    <w:rsid w:val="00CD380C"/>
    <w:rsid w:val="00CD4AD9"/>
    <w:rsid w:val="00CD52D7"/>
    <w:rsid w:val="00CD5633"/>
    <w:rsid w:val="00CD6BC8"/>
    <w:rsid w:val="00CD6D7B"/>
    <w:rsid w:val="00CD76F9"/>
    <w:rsid w:val="00CE1D3F"/>
    <w:rsid w:val="00CE2778"/>
    <w:rsid w:val="00CE523C"/>
    <w:rsid w:val="00CE6433"/>
    <w:rsid w:val="00CF0DF0"/>
    <w:rsid w:val="00CF144D"/>
    <w:rsid w:val="00D0117C"/>
    <w:rsid w:val="00D01E07"/>
    <w:rsid w:val="00D02104"/>
    <w:rsid w:val="00D02144"/>
    <w:rsid w:val="00D03FFB"/>
    <w:rsid w:val="00D042E9"/>
    <w:rsid w:val="00D04B95"/>
    <w:rsid w:val="00D11994"/>
    <w:rsid w:val="00D120B7"/>
    <w:rsid w:val="00D12B44"/>
    <w:rsid w:val="00D12C57"/>
    <w:rsid w:val="00D12D9B"/>
    <w:rsid w:val="00D167A3"/>
    <w:rsid w:val="00D16C4F"/>
    <w:rsid w:val="00D17018"/>
    <w:rsid w:val="00D205B2"/>
    <w:rsid w:val="00D207B8"/>
    <w:rsid w:val="00D21965"/>
    <w:rsid w:val="00D22598"/>
    <w:rsid w:val="00D2370C"/>
    <w:rsid w:val="00D23F23"/>
    <w:rsid w:val="00D25FBF"/>
    <w:rsid w:val="00D2635A"/>
    <w:rsid w:val="00D26C3E"/>
    <w:rsid w:val="00D27302"/>
    <w:rsid w:val="00D27A3B"/>
    <w:rsid w:val="00D27BDA"/>
    <w:rsid w:val="00D34B98"/>
    <w:rsid w:val="00D36111"/>
    <w:rsid w:val="00D363BA"/>
    <w:rsid w:val="00D40D68"/>
    <w:rsid w:val="00D41F52"/>
    <w:rsid w:val="00D42424"/>
    <w:rsid w:val="00D443A0"/>
    <w:rsid w:val="00D44591"/>
    <w:rsid w:val="00D449E5"/>
    <w:rsid w:val="00D44AA6"/>
    <w:rsid w:val="00D45218"/>
    <w:rsid w:val="00D45DB3"/>
    <w:rsid w:val="00D47998"/>
    <w:rsid w:val="00D50B9A"/>
    <w:rsid w:val="00D54A0E"/>
    <w:rsid w:val="00D55F5D"/>
    <w:rsid w:val="00D5613D"/>
    <w:rsid w:val="00D577F5"/>
    <w:rsid w:val="00D604E0"/>
    <w:rsid w:val="00D618EE"/>
    <w:rsid w:val="00D6533E"/>
    <w:rsid w:val="00D662F7"/>
    <w:rsid w:val="00D70E5C"/>
    <w:rsid w:val="00D72B1F"/>
    <w:rsid w:val="00D731B5"/>
    <w:rsid w:val="00D76251"/>
    <w:rsid w:val="00D80053"/>
    <w:rsid w:val="00D80E23"/>
    <w:rsid w:val="00D8361A"/>
    <w:rsid w:val="00D862F2"/>
    <w:rsid w:val="00D86901"/>
    <w:rsid w:val="00D90193"/>
    <w:rsid w:val="00D90A35"/>
    <w:rsid w:val="00D9325C"/>
    <w:rsid w:val="00D960E8"/>
    <w:rsid w:val="00DA3522"/>
    <w:rsid w:val="00DA5035"/>
    <w:rsid w:val="00DA7364"/>
    <w:rsid w:val="00DA78DD"/>
    <w:rsid w:val="00DB108E"/>
    <w:rsid w:val="00DB242B"/>
    <w:rsid w:val="00DB4388"/>
    <w:rsid w:val="00DB71B8"/>
    <w:rsid w:val="00DB7F23"/>
    <w:rsid w:val="00DC0422"/>
    <w:rsid w:val="00DC2CCB"/>
    <w:rsid w:val="00DC3B98"/>
    <w:rsid w:val="00DC47A2"/>
    <w:rsid w:val="00DC4AD8"/>
    <w:rsid w:val="00DC5196"/>
    <w:rsid w:val="00DC7982"/>
    <w:rsid w:val="00DD01A9"/>
    <w:rsid w:val="00DD3931"/>
    <w:rsid w:val="00DD5BBD"/>
    <w:rsid w:val="00DD5DBD"/>
    <w:rsid w:val="00DD7F67"/>
    <w:rsid w:val="00DE3C81"/>
    <w:rsid w:val="00DE4A80"/>
    <w:rsid w:val="00DE4CDE"/>
    <w:rsid w:val="00DE6236"/>
    <w:rsid w:val="00DF20BC"/>
    <w:rsid w:val="00DF261A"/>
    <w:rsid w:val="00DF2D24"/>
    <w:rsid w:val="00DF3414"/>
    <w:rsid w:val="00DF4633"/>
    <w:rsid w:val="00DF49EA"/>
    <w:rsid w:val="00DF5133"/>
    <w:rsid w:val="00DF6161"/>
    <w:rsid w:val="00DF7C3B"/>
    <w:rsid w:val="00E0091C"/>
    <w:rsid w:val="00E03866"/>
    <w:rsid w:val="00E0469F"/>
    <w:rsid w:val="00E04873"/>
    <w:rsid w:val="00E05445"/>
    <w:rsid w:val="00E059AD"/>
    <w:rsid w:val="00E14B38"/>
    <w:rsid w:val="00E17507"/>
    <w:rsid w:val="00E20B41"/>
    <w:rsid w:val="00E20CA4"/>
    <w:rsid w:val="00E21EBB"/>
    <w:rsid w:val="00E223AC"/>
    <w:rsid w:val="00E22831"/>
    <w:rsid w:val="00E24A60"/>
    <w:rsid w:val="00E24CB0"/>
    <w:rsid w:val="00E2556C"/>
    <w:rsid w:val="00E31E76"/>
    <w:rsid w:val="00E32CF4"/>
    <w:rsid w:val="00E3403C"/>
    <w:rsid w:val="00E3410F"/>
    <w:rsid w:val="00E3595D"/>
    <w:rsid w:val="00E37788"/>
    <w:rsid w:val="00E37F55"/>
    <w:rsid w:val="00E401E5"/>
    <w:rsid w:val="00E4191F"/>
    <w:rsid w:val="00E44BDF"/>
    <w:rsid w:val="00E44D40"/>
    <w:rsid w:val="00E47D68"/>
    <w:rsid w:val="00E50F17"/>
    <w:rsid w:val="00E51087"/>
    <w:rsid w:val="00E51FC6"/>
    <w:rsid w:val="00E54491"/>
    <w:rsid w:val="00E55321"/>
    <w:rsid w:val="00E55368"/>
    <w:rsid w:val="00E57BA7"/>
    <w:rsid w:val="00E6018A"/>
    <w:rsid w:val="00E603C4"/>
    <w:rsid w:val="00E643D3"/>
    <w:rsid w:val="00E64CAB"/>
    <w:rsid w:val="00E70518"/>
    <w:rsid w:val="00E70C29"/>
    <w:rsid w:val="00E71D38"/>
    <w:rsid w:val="00E71F5D"/>
    <w:rsid w:val="00E72957"/>
    <w:rsid w:val="00E7409C"/>
    <w:rsid w:val="00E74F8B"/>
    <w:rsid w:val="00E81E9D"/>
    <w:rsid w:val="00E84014"/>
    <w:rsid w:val="00E86BE2"/>
    <w:rsid w:val="00E877D7"/>
    <w:rsid w:val="00E911AF"/>
    <w:rsid w:val="00E924D9"/>
    <w:rsid w:val="00E9386D"/>
    <w:rsid w:val="00E9673F"/>
    <w:rsid w:val="00E967D2"/>
    <w:rsid w:val="00E974B7"/>
    <w:rsid w:val="00EA19CE"/>
    <w:rsid w:val="00EA4542"/>
    <w:rsid w:val="00EA5240"/>
    <w:rsid w:val="00EA54C8"/>
    <w:rsid w:val="00EA7CC2"/>
    <w:rsid w:val="00EB127D"/>
    <w:rsid w:val="00EB2586"/>
    <w:rsid w:val="00EB2729"/>
    <w:rsid w:val="00EB2877"/>
    <w:rsid w:val="00EB2C33"/>
    <w:rsid w:val="00EB3242"/>
    <w:rsid w:val="00EB3582"/>
    <w:rsid w:val="00EB37A7"/>
    <w:rsid w:val="00EB387D"/>
    <w:rsid w:val="00EB5C49"/>
    <w:rsid w:val="00EB6366"/>
    <w:rsid w:val="00EC0B8A"/>
    <w:rsid w:val="00EC1DCA"/>
    <w:rsid w:val="00EC3B7A"/>
    <w:rsid w:val="00EC7127"/>
    <w:rsid w:val="00ED1089"/>
    <w:rsid w:val="00ED2E7D"/>
    <w:rsid w:val="00ED5E2D"/>
    <w:rsid w:val="00ED688E"/>
    <w:rsid w:val="00ED7B54"/>
    <w:rsid w:val="00ED7D63"/>
    <w:rsid w:val="00EE00FF"/>
    <w:rsid w:val="00EE0143"/>
    <w:rsid w:val="00EE1B08"/>
    <w:rsid w:val="00EE43F1"/>
    <w:rsid w:val="00EE4B83"/>
    <w:rsid w:val="00EE5465"/>
    <w:rsid w:val="00EF0195"/>
    <w:rsid w:val="00EF4112"/>
    <w:rsid w:val="00EF6CA0"/>
    <w:rsid w:val="00F03FEA"/>
    <w:rsid w:val="00F044DE"/>
    <w:rsid w:val="00F077CD"/>
    <w:rsid w:val="00F107B3"/>
    <w:rsid w:val="00F10814"/>
    <w:rsid w:val="00F10BFD"/>
    <w:rsid w:val="00F11787"/>
    <w:rsid w:val="00F12727"/>
    <w:rsid w:val="00F1609B"/>
    <w:rsid w:val="00F20997"/>
    <w:rsid w:val="00F2114F"/>
    <w:rsid w:val="00F224B4"/>
    <w:rsid w:val="00F22D89"/>
    <w:rsid w:val="00F31725"/>
    <w:rsid w:val="00F31C38"/>
    <w:rsid w:val="00F33989"/>
    <w:rsid w:val="00F33BFC"/>
    <w:rsid w:val="00F34EAB"/>
    <w:rsid w:val="00F35951"/>
    <w:rsid w:val="00F435FF"/>
    <w:rsid w:val="00F43881"/>
    <w:rsid w:val="00F444D0"/>
    <w:rsid w:val="00F50110"/>
    <w:rsid w:val="00F515B3"/>
    <w:rsid w:val="00F5160B"/>
    <w:rsid w:val="00F53128"/>
    <w:rsid w:val="00F538EB"/>
    <w:rsid w:val="00F53EC2"/>
    <w:rsid w:val="00F541A6"/>
    <w:rsid w:val="00F5427D"/>
    <w:rsid w:val="00F5551D"/>
    <w:rsid w:val="00F57034"/>
    <w:rsid w:val="00F577DE"/>
    <w:rsid w:val="00F601C5"/>
    <w:rsid w:val="00F604EA"/>
    <w:rsid w:val="00F60FF6"/>
    <w:rsid w:val="00F61C83"/>
    <w:rsid w:val="00F62EE6"/>
    <w:rsid w:val="00F6368D"/>
    <w:rsid w:val="00F63D81"/>
    <w:rsid w:val="00F66526"/>
    <w:rsid w:val="00F704CD"/>
    <w:rsid w:val="00F718EC"/>
    <w:rsid w:val="00F73D66"/>
    <w:rsid w:val="00F74350"/>
    <w:rsid w:val="00F74D54"/>
    <w:rsid w:val="00F76B2C"/>
    <w:rsid w:val="00F777FC"/>
    <w:rsid w:val="00F81ECE"/>
    <w:rsid w:val="00F828D8"/>
    <w:rsid w:val="00F82B08"/>
    <w:rsid w:val="00F833D1"/>
    <w:rsid w:val="00F86371"/>
    <w:rsid w:val="00F86CA3"/>
    <w:rsid w:val="00F9083D"/>
    <w:rsid w:val="00F910D6"/>
    <w:rsid w:val="00F91B44"/>
    <w:rsid w:val="00F94E72"/>
    <w:rsid w:val="00FA1CC1"/>
    <w:rsid w:val="00FA1D6F"/>
    <w:rsid w:val="00FA2540"/>
    <w:rsid w:val="00FA2652"/>
    <w:rsid w:val="00FA4EC2"/>
    <w:rsid w:val="00FA5B69"/>
    <w:rsid w:val="00FA7593"/>
    <w:rsid w:val="00FB2E9F"/>
    <w:rsid w:val="00FB3658"/>
    <w:rsid w:val="00FB4209"/>
    <w:rsid w:val="00FB53FC"/>
    <w:rsid w:val="00FB6CBB"/>
    <w:rsid w:val="00FC2074"/>
    <w:rsid w:val="00FC3EAE"/>
    <w:rsid w:val="00FC430B"/>
    <w:rsid w:val="00FC45A5"/>
    <w:rsid w:val="00FD07EF"/>
    <w:rsid w:val="00FD0EBB"/>
    <w:rsid w:val="00FD1620"/>
    <w:rsid w:val="00FD2936"/>
    <w:rsid w:val="00FD2E5C"/>
    <w:rsid w:val="00FD4794"/>
    <w:rsid w:val="00FD522F"/>
    <w:rsid w:val="00FD5F77"/>
    <w:rsid w:val="00FE29D1"/>
    <w:rsid w:val="00FE3010"/>
    <w:rsid w:val="00FE3E9B"/>
    <w:rsid w:val="00FE5B32"/>
    <w:rsid w:val="00FE6F1C"/>
    <w:rsid w:val="00FE7239"/>
    <w:rsid w:val="00FE763F"/>
    <w:rsid w:val="00FE7B6F"/>
    <w:rsid w:val="00FF020B"/>
    <w:rsid w:val="00FF0670"/>
    <w:rsid w:val="00FF2319"/>
    <w:rsid w:val="00FF5785"/>
    <w:rsid w:val="00FF6A9C"/>
    <w:rsid w:val="00FF7402"/>
    <w:rsid w:val="00FF7C34"/>
    <w:rsid w:val="0B7F4EB8"/>
    <w:rsid w:val="37D0D10F"/>
    <w:rsid w:val="415E8AF8"/>
    <w:rsid w:val="7FF8D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0BDF7"/>
  <w15:chartTrackingRefBased/>
  <w15:docId w15:val="{3CCA68BC-8371-4166-A441-B738162EF5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5C2"/>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625C2"/>
    <w:pPr>
      <w:tabs>
        <w:tab w:val="center" w:pos="4320"/>
        <w:tab w:val="right" w:pos="8640"/>
      </w:tabs>
    </w:pPr>
  </w:style>
  <w:style w:type="character" w:styleId="HeaderChar" w:customStyle="1">
    <w:name w:val="Header Char"/>
    <w:link w:val="Header"/>
    <w:uiPriority w:val="99"/>
    <w:rsid w:val="00C625C2"/>
    <w:rPr>
      <w:rFonts w:ascii="Times New Roman" w:hAnsi="Times New Roman" w:eastAsia="Times New Roman" w:cs="Times New Roman"/>
      <w:sz w:val="24"/>
      <w:szCs w:val="24"/>
    </w:rPr>
  </w:style>
  <w:style w:type="paragraph" w:styleId="NormalWeb">
    <w:name w:val="Normal (Web)"/>
    <w:basedOn w:val="Normal"/>
    <w:uiPriority w:val="99"/>
    <w:rsid w:val="00C625C2"/>
    <w:pPr>
      <w:spacing w:before="100" w:beforeAutospacing="1" w:after="100" w:afterAutospacing="1"/>
    </w:pPr>
  </w:style>
  <w:style w:type="character" w:styleId="apple-style-span" w:customStyle="1">
    <w:name w:val="apple-style-span"/>
    <w:basedOn w:val="DefaultParagraphFont"/>
    <w:rsid w:val="00C625C2"/>
  </w:style>
  <w:style w:type="table" w:styleId="MediumGrid1-Accent3">
    <w:name w:val="Medium Grid 1 Accent 3"/>
    <w:basedOn w:val="TableNormal"/>
    <w:uiPriority w:val="67"/>
    <w:rsid w:val="00C625C2"/>
    <w:rPr>
      <w:rFonts w:ascii="Times New Roman" w:hAnsi="Times New Roman" w:eastAsia="Times New Roman"/>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Footer">
    <w:name w:val="footer"/>
    <w:basedOn w:val="Normal"/>
    <w:link w:val="FooterChar"/>
    <w:uiPriority w:val="99"/>
    <w:unhideWhenUsed/>
    <w:rsid w:val="00AE5222"/>
    <w:pPr>
      <w:tabs>
        <w:tab w:val="center" w:pos="4680"/>
        <w:tab w:val="right" w:pos="9360"/>
      </w:tabs>
    </w:pPr>
  </w:style>
  <w:style w:type="character" w:styleId="FooterChar" w:customStyle="1">
    <w:name w:val="Footer Char"/>
    <w:link w:val="Footer"/>
    <w:uiPriority w:val="99"/>
    <w:rsid w:val="00AE5222"/>
    <w:rPr>
      <w:rFonts w:ascii="Times New Roman" w:hAnsi="Times New Roman" w:eastAsia="Times New Roman" w:cs="Times New Roman"/>
      <w:sz w:val="24"/>
      <w:szCs w:val="24"/>
    </w:rPr>
  </w:style>
  <w:style w:type="character" w:styleId="Hyperlink">
    <w:name w:val="Hyperlink"/>
    <w:uiPriority w:val="99"/>
    <w:unhideWhenUsed/>
    <w:rsid w:val="00630C96"/>
    <w:rPr>
      <w:color w:val="0000FF"/>
      <w:u w:val="single"/>
    </w:rPr>
  </w:style>
  <w:style w:type="paragraph" w:styleId="ListParagraph">
    <w:name w:val="List Paragraph"/>
    <w:basedOn w:val="Normal"/>
    <w:uiPriority w:val="34"/>
    <w:qFormat/>
    <w:rsid w:val="00480E4F"/>
    <w:pPr>
      <w:ind w:left="720"/>
      <w:contextualSpacing/>
    </w:pPr>
  </w:style>
  <w:style w:type="character" w:styleId="Emphasis">
    <w:name w:val="Emphasis"/>
    <w:uiPriority w:val="20"/>
    <w:qFormat/>
    <w:rsid w:val="000D01E1"/>
    <w:rPr>
      <w:i/>
      <w:iCs/>
    </w:rPr>
  </w:style>
  <w:style w:type="character" w:styleId="fontstyle01" w:customStyle="1">
    <w:name w:val="fontstyle01"/>
    <w:rsid w:val="00441FA1"/>
    <w:rPr>
      <w:rFonts w:hint="default" w:ascii="TimesNewRomanPSMT" w:hAnsi="TimesNewRomanPSMT"/>
      <w:b w:val="0"/>
      <w:bCs w:val="0"/>
      <w:i w:val="0"/>
      <w:iCs w:val="0"/>
      <w:color w:val="242021"/>
      <w:sz w:val="18"/>
      <w:szCs w:val="18"/>
    </w:rPr>
  </w:style>
  <w:style w:type="character" w:styleId="fontstyle21" w:customStyle="1">
    <w:name w:val="fontstyle21"/>
    <w:rsid w:val="00441FA1"/>
    <w:rPr>
      <w:rFonts w:hint="default" w:ascii="TimesNewRomanPS-ItalicMT" w:hAnsi="TimesNewRomanPS-ItalicMT"/>
      <w:b w:val="0"/>
      <w:bCs w:val="0"/>
      <w:i/>
      <w:iCs/>
      <w:color w:val="242021"/>
      <w:sz w:val="18"/>
      <w:szCs w:val="18"/>
    </w:rPr>
  </w:style>
  <w:style w:type="character" w:styleId="FollowedHyperlink">
    <w:name w:val="FollowedHyperlink"/>
    <w:uiPriority w:val="99"/>
    <w:semiHidden/>
    <w:unhideWhenUsed/>
    <w:rsid w:val="00586164"/>
    <w:rPr>
      <w:color w:val="800080"/>
      <w:u w:val="single"/>
    </w:rPr>
  </w:style>
  <w:style w:type="character" w:styleId="meta-citation" w:customStyle="1">
    <w:name w:val="meta-citation"/>
    <w:rsid w:val="00EB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1543">
      <w:bodyDiv w:val="1"/>
      <w:marLeft w:val="0"/>
      <w:marRight w:val="0"/>
      <w:marTop w:val="0"/>
      <w:marBottom w:val="0"/>
      <w:divBdr>
        <w:top w:val="none" w:sz="0" w:space="0" w:color="auto"/>
        <w:left w:val="none" w:sz="0" w:space="0" w:color="auto"/>
        <w:bottom w:val="none" w:sz="0" w:space="0" w:color="auto"/>
        <w:right w:val="none" w:sz="0" w:space="0" w:color="auto"/>
      </w:divBdr>
      <w:divsChild>
        <w:div w:id="400449617">
          <w:marLeft w:val="0"/>
          <w:marRight w:val="0"/>
          <w:marTop w:val="0"/>
          <w:marBottom w:val="0"/>
          <w:divBdr>
            <w:top w:val="none" w:sz="0" w:space="0" w:color="auto"/>
            <w:left w:val="none" w:sz="0" w:space="0" w:color="auto"/>
            <w:bottom w:val="none" w:sz="0" w:space="0" w:color="auto"/>
            <w:right w:val="none" w:sz="0" w:space="0" w:color="auto"/>
          </w:divBdr>
        </w:div>
      </w:divsChild>
    </w:div>
    <w:div w:id="586547264">
      <w:bodyDiv w:val="1"/>
      <w:marLeft w:val="0"/>
      <w:marRight w:val="0"/>
      <w:marTop w:val="0"/>
      <w:marBottom w:val="0"/>
      <w:divBdr>
        <w:top w:val="none" w:sz="0" w:space="0" w:color="auto"/>
        <w:left w:val="none" w:sz="0" w:space="0" w:color="auto"/>
        <w:bottom w:val="none" w:sz="0" w:space="0" w:color="auto"/>
        <w:right w:val="none" w:sz="0" w:space="0" w:color="auto"/>
      </w:divBdr>
      <w:divsChild>
        <w:div w:id="438840357">
          <w:marLeft w:val="0"/>
          <w:marRight w:val="0"/>
          <w:marTop w:val="0"/>
          <w:marBottom w:val="0"/>
          <w:divBdr>
            <w:top w:val="none" w:sz="0" w:space="0" w:color="auto"/>
            <w:left w:val="none" w:sz="0" w:space="0" w:color="auto"/>
            <w:bottom w:val="none" w:sz="0" w:space="0" w:color="auto"/>
            <w:right w:val="none" w:sz="0" w:space="0" w:color="auto"/>
          </w:divBdr>
        </w:div>
      </w:divsChild>
    </w:div>
    <w:div w:id="662004808">
      <w:bodyDiv w:val="1"/>
      <w:marLeft w:val="0"/>
      <w:marRight w:val="0"/>
      <w:marTop w:val="0"/>
      <w:marBottom w:val="0"/>
      <w:divBdr>
        <w:top w:val="none" w:sz="0" w:space="0" w:color="auto"/>
        <w:left w:val="none" w:sz="0" w:space="0" w:color="auto"/>
        <w:bottom w:val="none" w:sz="0" w:space="0" w:color="auto"/>
        <w:right w:val="none" w:sz="0" w:space="0" w:color="auto"/>
      </w:divBdr>
      <w:divsChild>
        <w:div w:id="1221939060">
          <w:marLeft w:val="0"/>
          <w:marRight w:val="0"/>
          <w:marTop w:val="0"/>
          <w:marBottom w:val="0"/>
          <w:divBdr>
            <w:top w:val="none" w:sz="0" w:space="0" w:color="auto"/>
            <w:left w:val="none" w:sz="0" w:space="0" w:color="auto"/>
            <w:bottom w:val="none" w:sz="0" w:space="0" w:color="auto"/>
            <w:right w:val="none" w:sz="0" w:space="0" w:color="auto"/>
          </w:divBdr>
        </w:div>
      </w:divsChild>
    </w:div>
    <w:div w:id="691300033">
      <w:bodyDiv w:val="1"/>
      <w:marLeft w:val="0"/>
      <w:marRight w:val="0"/>
      <w:marTop w:val="0"/>
      <w:marBottom w:val="0"/>
      <w:divBdr>
        <w:top w:val="none" w:sz="0" w:space="0" w:color="auto"/>
        <w:left w:val="none" w:sz="0" w:space="0" w:color="auto"/>
        <w:bottom w:val="none" w:sz="0" w:space="0" w:color="auto"/>
        <w:right w:val="none" w:sz="0" w:space="0" w:color="auto"/>
      </w:divBdr>
      <w:divsChild>
        <w:div w:id="1885828912">
          <w:marLeft w:val="0"/>
          <w:marRight w:val="0"/>
          <w:marTop w:val="0"/>
          <w:marBottom w:val="0"/>
          <w:divBdr>
            <w:top w:val="none" w:sz="0" w:space="0" w:color="auto"/>
            <w:left w:val="none" w:sz="0" w:space="0" w:color="auto"/>
            <w:bottom w:val="none" w:sz="0" w:space="0" w:color="auto"/>
            <w:right w:val="none" w:sz="0" w:space="0" w:color="auto"/>
          </w:divBdr>
        </w:div>
      </w:divsChild>
    </w:div>
    <w:div w:id="692460441">
      <w:bodyDiv w:val="1"/>
      <w:marLeft w:val="0"/>
      <w:marRight w:val="0"/>
      <w:marTop w:val="0"/>
      <w:marBottom w:val="0"/>
      <w:divBdr>
        <w:top w:val="none" w:sz="0" w:space="0" w:color="auto"/>
        <w:left w:val="none" w:sz="0" w:space="0" w:color="auto"/>
        <w:bottom w:val="none" w:sz="0" w:space="0" w:color="auto"/>
        <w:right w:val="none" w:sz="0" w:space="0" w:color="auto"/>
      </w:divBdr>
      <w:divsChild>
        <w:div w:id="2041395232">
          <w:marLeft w:val="0"/>
          <w:marRight w:val="0"/>
          <w:marTop w:val="0"/>
          <w:marBottom w:val="0"/>
          <w:divBdr>
            <w:top w:val="none" w:sz="0" w:space="0" w:color="auto"/>
            <w:left w:val="none" w:sz="0" w:space="0" w:color="auto"/>
            <w:bottom w:val="none" w:sz="0" w:space="0" w:color="auto"/>
            <w:right w:val="none" w:sz="0" w:space="0" w:color="auto"/>
          </w:divBdr>
        </w:div>
      </w:divsChild>
    </w:div>
    <w:div w:id="778837826">
      <w:bodyDiv w:val="1"/>
      <w:marLeft w:val="0"/>
      <w:marRight w:val="0"/>
      <w:marTop w:val="0"/>
      <w:marBottom w:val="0"/>
      <w:divBdr>
        <w:top w:val="none" w:sz="0" w:space="0" w:color="auto"/>
        <w:left w:val="none" w:sz="0" w:space="0" w:color="auto"/>
        <w:bottom w:val="none" w:sz="0" w:space="0" w:color="auto"/>
        <w:right w:val="none" w:sz="0" w:space="0" w:color="auto"/>
      </w:divBdr>
      <w:divsChild>
        <w:div w:id="1868594903">
          <w:marLeft w:val="0"/>
          <w:marRight w:val="0"/>
          <w:marTop w:val="0"/>
          <w:marBottom w:val="0"/>
          <w:divBdr>
            <w:top w:val="none" w:sz="0" w:space="0" w:color="auto"/>
            <w:left w:val="none" w:sz="0" w:space="0" w:color="auto"/>
            <w:bottom w:val="none" w:sz="0" w:space="0" w:color="auto"/>
            <w:right w:val="none" w:sz="0" w:space="0" w:color="auto"/>
          </w:divBdr>
        </w:div>
      </w:divsChild>
    </w:div>
    <w:div w:id="802693955">
      <w:bodyDiv w:val="1"/>
      <w:marLeft w:val="0"/>
      <w:marRight w:val="0"/>
      <w:marTop w:val="0"/>
      <w:marBottom w:val="0"/>
      <w:divBdr>
        <w:top w:val="none" w:sz="0" w:space="0" w:color="auto"/>
        <w:left w:val="none" w:sz="0" w:space="0" w:color="auto"/>
        <w:bottom w:val="none" w:sz="0" w:space="0" w:color="auto"/>
        <w:right w:val="none" w:sz="0" w:space="0" w:color="auto"/>
      </w:divBdr>
      <w:divsChild>
        <w:div w:id="1266888468">
          <w:marLeft w:val="0"/>
          <w:marRight w:val="0"/>
          <w:marTop w:val="0"/>
          <w:marBottom w:val="0"/>
          <w:divBdr>
            <w:top w:val="none" w:sz="0" w:space="0" w:color="auto"/>
            <w:left w:val="none" w:sz="0" w:space="0" w:color="auto"/>
            <w:bottom w:val="none" w:sz="0" w:space="0" w:color="auto"/>
            <w:right w:val="none" w:sz="0" w:space="0" w:color="auto"/>
          </w:divBdr>
        </w:div>
      </w:divsChild>
    </w:div>
    <w:div w:id="870218354">
      <w:bodyDiv w:val="1"/>
      <w:marLeft w:val="0"/>
      <w:marRight w:val="0"/>
      <w:marTop w:val="0"/>
      <w:marBottom w:val="0"/>
      <w:divBdr>
        <w:top w:val="none" w:sz="0" w:space="0" w:color="auto"/>
        <w:left w:val="none" w:sz="0" w:space="0" w:color="auto"/>
        <w:bottom w:val="none" w:sz="0" w:space="0" w:color="auto"/>
        <w:right w:val="none" w:sz="0" w:space="0" w:color="auto"/>
      </w:divBdr>
      <w:divsChild>
        <w:div w:id="101340521">
          <w:marLeft w:val="0"/>
          <w:marRight w:val="0"/>
          <w:marTop w:val="0"/>
          <w:marBottom w:val="0"/>
          <w:divBdr>
            <w:top w:val="none" w:sz="0" w:space="0" w:color="auto"/>
            <w:left w:val="none" w:sz="0" w:space="0" w:color="auto"/>
            <w:bottom w:val="none" w:sz="0" w:space="0" w:color="auto"/>
            <w:right w:val="none" w:sz="0" w:space="0" w:color="auto"/>
          </w:divBdr>
        </w:div>
      </w:divsChild>
    </w:div>
    <w:div w:id="944507260">
      <w:bodyDiv w:val="1"/>
      <w:marLeft w:val="0"/>
      <w:marRight w:val="0"/>
      <w:marTop w:val="0"/>
      <w:marBottom w:val="0"/>
      <w:divBdr>
        <w:top w:val="none" w:sz="0" w:space="0" w:color="auto"/>
        <w:left w:val="none" w:sz="0" w:space="0" w:color="auto"/>
        <w:bottom w:val="none" w:sz="0" w:space="0" w:color="auto"/>
        <w:right w:val="none" w:sz="0" w:space="0" w:color="auto"/>
      </w:divBdr>
      <w:divsChild>
        <w:div w:id="1646423776">
          <w:marLeft w:val="0"/>
          <w:marRight w:val="0"/>
          <w:marTop w:val="0"/>
          <w:marBottom w:val="0"/>
          <w:divBdr>
            <w:top w:val="none" w:sz="0" w:space="0" w:color="auto"/>
            <w:left w:val="none" w:sz="0" w:space="0" w:color="auto"/>
            <w:bottom w:val="none" w:sz="0" w:space="0" w:color="auto"/>
            <w:right w:val="none" w:sz="0" w:space="0" w:color="auto"/>
          </w:divBdr>
        </w:div>
      </w:divsChild>
    </w:div>
    <w:div w:id="983659362">
      <w:bodyDiv w:val="1"/>
      <w:marLeft w:val="0"/>
      <w:marRight w:val="0"/>
      <w:marTop w:val="0"/>
      <w:marBottom w:val="0"/>
      <w:divBdr>
        <w:top w:val="none" w:sz="0" w:space="0" w:color="auto"/>
        <w:left w:val="none" w:sz="0" w:space="0" w:color="auto"/>
        <w:bottom w:val="none" w:sz="0" w:space="0" w:color="auto"/>
        <w:right w:val="none" w:sz="0" w:space="0" w:color="auto"/>
      </w:divBdr>
      <w:divsChild>
        <w:div w:id="943682950">
          <w:marLeft w:val="0"/>
          <w:marRight w:val="0"/>
          <w:marTop w:val="0"/>
          <w:marBottom w:val="0"/>
          <w:divBdr>
            <w:top w:val="none" w:sz="0" w:space="0" w:color="auto"/>
            <w:left w:val="none" w:sz="0" w:space="0" w:color="auto"/>
            <w:bottom w:val="none" w:sz="0" w:space="0" w:color="auto"/>
            <w:right w:val="none" w:sz="0" w:space="0" w:color="auto"/>
          </w:divBdr>
        </w:div>
      </w:divsChild>
    </w:div>
    <w:div w:id="1019087062">
      <w:bodyDiv w:val="1"/>
      <w:marLeft w:val="0"/>
      <w:marRight w:val="0"/>
      <w:marTop w:val="0"/>
      <w:marBottom w:val="0"/>
      <w:divBdr>
        <w:top w:val="none" w:sz="0" w:space="0" w:color="auto"/>
        <w:left w:val="none" w:sz="0" w:space="0" w:color="auto"/>
        <w:bottom w:val="none" w:sz="0" w:space="0" w:color="auto"/>
        <w:right w:val="none" w:sz="0" w:space="0" w:color="auto"/>
      </w:divBdr>
      <w:divsChild>
        <w:div w:id="1445491631">
          <w:marLeft w:val="0"/>
          <w:marRight w:val="0"/>
          <w:marTop w:val="0"/>
          <w:marBottom w:val="0"/>
          <w:divBdr>
            <w:top w:val="none" w:sz="0" w:space="0" w:color="auto"/>
            <w:left w:val="none" w:sz="0" w:space="0" w:color="auto"/>
            <w:bottom w:val="none" w:sz="0" w:space="0" w:color="auto"/>
            <w:right w:val="none" w:sz="0" w:space="0" w:color="auto"/>
          </w:divBdr>
        </w:div>
      </w:divsChild>
    </w:div>
    <w:div w:id="11478207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922">
          <w:marLeft w:val="0"/>
          <w:marRight w:val="0"/>
          <w:marTop w:val="0"/>
          <w:marBottom w:val="0"/>
          <w:divBdr>
            <w:top w:val="none" w:sz="0" w:space="0" w:color="auto"/>
            <w:left w:val="none" w:sz="0" w:space="0" w:color="auto"/>
            <w:bottom w:val="none" w:sz="0" w:space="0" w:color="auto"/>
            <w:right w:val="none" w:sz="0" w:space="0" w:color="auto"/>
          </w:divBdr>
        </w:div>
      </w:divsChild>
    </w:div>
    <w:div w:id="1268611313">
      <w:bodyDiv w:val="1"/>
      <w:marLeft w:val="0"/>
      <w:marRight w:val="0"/>
      <w:marTop w:val="0"/>
      <w:marBottom w:val="0"/>
      <w:divBdr>
        <w:top w:val="none" w:sz="0" w:space="0" w:color="auto"/>
        <w:left w:val="none" w:sz="0" w:space="0" w:color="auto"/>
        <w:bottom w:val="none" w:sz="0" w:space="0" w:color="auto"/>
        <w:right w:val="none" w:sz="0" w:space="0" w:color="auto"/>
      </w:divBdr>
      <w:divsChild>
        <w:div w:id="1907374243">
          <w:marLeft w:val="0"/>
          <w:marRight w:val="0"/>
          <w:marTop w:val="0"/>
          <w:marBottom w:val="0"/>
          <w:divBdr>
            <w:top w:val="none" w:sz="0" w:space="0" w:color="auto"/>
            <w:left w:val="none" w:sz="0" w:space="0" w:color="auto"/>
            <w:bottom w:val="none" w:sz="0" w:space="0" w:color="auto"/>
            <w:right w:val="none" w:sz="0" w:space="0" w:color="auto"/>
          </w:divBdr>
        </w:div>
      </w:divsChild>
    </w:div>
    <w:div w:id="1335648977">
      <w:bodyDiv w:val="1"/>
      <w:marLeft w:val="0"/>
      <w:marRight w:val="0"/>
      <w:marTop w:val="0"/>
      <w:marBottom w:val="0"/>
      <w:divBdr>
        <w:top w:val="none" w:sz="0" w:space="0" w:color="auto"/>
        <w:left w:val="none" w:sz="0" w:space="0" w:color="auto"/>
        <w:bottom w:val="none" w:sz="0" w:space="0" w:color="auto"/>
        <w:right w:val="none" w:sz="0" w:space="0" w:color="auto"/>
      </w:divBdr>
      <w:divsChild>
        <w:div w:id="1376273458">
          <w:marLeft w:val="0"/>
          <w:marRight w:val="0"/>
          <w:marTop w:val="0"/>
          <w:marBottom w:val="0"/>
          <w:divBdr>
            <w:top w:val="none" w:sz="0" w:space="0" w:color="auto"/>
            <w:left w:val="none" w:sz="0" w:space="0" w:color="auto"/>
            <w:bottom w:val="none" w:sz="0" w:space="0" w:color="auto"/>
            <w:right w:val="none" w:sz="0" w:space="0" w:color="auto"/>
          </w:divBdr>
        </w:div>
      </w:divsChild>
    </w:div>
    <w:div w:id="1409303956">
      <w:bodyDiv w:val="1"/>
      <w:marLeft w:val="0"/>
      <w:marRight w:val="0"/>
      <w:marTop w:val="0"/>
      <w:marBottom w:val="0"/>
      <w:divBdr>
        <w:top w:val="none" w:sz="0" w:space="0" w:color="auto"/>
        <w:left w:val="none" w:sz="0" w:space="0" w:color="auto"/>
        <w:bottom w:val="none" w:sz="0" w:space="0" w:color="auto"/>
        <w:right w:val="none" w:sz="0" w:space="0" w:color="auto"/>
      </w:divBdr>
      <w:divsChild>
        <w:div w:id="552884679">
          <w:marLeft w:val="0"/>
          <w:marRight w:val="0"/>
          <w:marTop w:val="0"/>
          <w:marBottom w:val="0"/>
          <w:divBdr>
            <w:top w:val="none" w:sz="0" w:space="0" w:color="auto"/>
            <w:left w:val="none" w:sz="0" w:space="0" w:color="auto"/>
            <w:bottom w:val="none" w:sz="0" w:space="0" w:color="auto"/>
            <w:right w:val="none" w:sz="0" w:space="0" w:color="auto"/>
          </w:divBdr>
        </w:div>
      </w:divsChild>
    </w:div>
    <w:div w:id="1513103519">
      <w:bodyDiv w:val="1"/>
      <w:marLeft w:val="0"/>
      <w:marRight w:val="0"/>
      <w:marTop w:val="0"/>
      <w:marBottom w:val="0"/>
      <w:divBdr>
        <w:top w:val="none" w:sz="0" w:space="0" w:color="auto"/>
        <w:left w:val="none" w:sz="0" w:space="0" w:color="auto"/>
        <w:bottom w:val="none" w:sz="0" w:space="0" w:color="auto"/>
        <w:right w:val="none" w:sz="0" w:space="0" w:color="auto"/>
      </w:divBdr>
      <w:divsChild>
        <w:div w:id="135996444">
          <w:marLeft w:val="0"/>
          <w:marRight w:val="0"/>
          <w:marTop w:val="0"/>
          <w:marBottom w:val="0"/>
          <w:divBdr>
            <w:top w:val="none" w:sz="0" w:space="0" w:color="auto"/>
            <w:left w:val="none" w:sz="0" w:space="0" w:color="auto"/>
            <w:bottom w:val="none" w:sz="0" w:space="0" w:color="auto"/>
            <w:right w:val="none" w:sz="0" w:space="0" w:color="auto"/>
          </w:divBdr>
        </w:div>
      </w:divsChild>
    </w:div>
    <w:div w:id="1797408956">
      <w:bodyDiv w:val="1"/>
      <w:marLeft w:val="0"/>
      <w:marRight w:val="0"/>
      <w:marTop w:val="0"/>
      <w:marBottom w:val="0"/>
      <w:divBdr>
        <w:top w:val="none" w:sz="0" w:space="0" w:color="auto"/>
        <w:left w:val="none" w:sz="0" w:space="0" w:color="auto"/>
        <w:bottom w:val="none" w:sz="0" w:space="0" w:color="auto"/>
        <w:right w:val="none" w:sz="0" w:space="0" w:color="auto"/>
      </w:divBdr>
      <w:divsChild>
        <w:div w:id="2902830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www.ihi.org/resources/Pages/Tools/SMARTDischargeProtocol.asp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ochsnerjournal.org/content/ochjnl/14/4/649.full-text.pdf"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doi.org/10.1001/jamasurg.2014.157"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ahrq.gov/patient-safety/settings/hospital/fall-prevention/toolkit/practices.html#3-3" TargetMode="Externa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doi.org/10.1016/S1553-7250(16)42014-3"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7C7B-A587-4FB8-BE2C-810DF85012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 Janis L. McFaul</dc:creator>
  <keywords/>
  <lastModifiedBy>Smith, Lakeesha</lastModifiedBy>
  <revision>72</revision>
  <lastPrinted>1601-01-01T00:00:00.0000000Z</lastPrinted>
  <dcterms:created xsi:type="dcterms:W3CDTF">2022-02-21T15:10:00.0000000Z</dcterms:created>
  <dcterms:modified xsi:type="dcterms:W3CDTF">2022-02-21T15:13:30.0187895Z</dcterms:modified>
</coreProperties>
</file>