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E236" w14:textId="77777777" w:rsidR="00F248C1" w:rsidRPr="00F248C1" w:rsidRDefault="00F248C1" w:rsidP="00F248C1">
      <w:pPr>
        <w:shd w:val="clear" w:color="auto" w:fill="FFFFFF"/>
        <w:spacing w:before="90" w:after="90" w:line="240" w:lineRule="auto"/>
        <w:outlineLvl w:val="0"/>
        <w:rPr>
          <w:rFonts w:ascii="&amp;quot" w:eastAsia="Times New Roman" w:hAnsi="&amp;quot"/>
          <w:color w:val="621B4B"/>
          <w:kern w:val="36"/>
          <w:sz w:val="43"/>
          <w:szCs w:val="43"/>
        </w:rPr>
      </w:pPr>
      <w:bookmarkStart w:id="0" w:name="_GoBack"/>
      <w:r w:rsidRPr="00F248C1">
        <w:rPr>
          <w:rFonts w:ascii="&amp;quot" w:eastAsia="Times New Roman" w:hAnsi="&amp;quot"/>
          <w:color w:val="621B4B"/>
          <w:kern w:val="36"/>
          <w:sz w:val="43"/>
          <w:szCs w:val="43"/>
        </w:rPr>
        <w:t>Week 2 - Discussion</w:t>
      </w:r>
    </w:p>
    <w:p w14:paraId="07573614" w14:textId="77777777" w:rsidR="00F248C1" w:rsidRPr="00F248C1" w:rsidRDefault="00F248C1" w:rsidP="00F248C1">
      <w:pPr>
        <w:shd w:val="clear" w:color="auto" w:fill="FFFFFF"/>
        <w:spacing w:before="90" w:after="90" w:line="240" w:lineRule="auto"/>
        <w:outlineLvl w:val="1"/>
        <w:rPr>
          <w:rFonts w:ascii="&amp;quot" w:eastAsia="Times New Roman" w:hAnsi="&amp;quot"/>
          <w:color w:val="621B4B"/>
          <w:sz w:val="43"/>
          <w:szCs w:val="43"/>
        </w:rPr>
      </w:pPr>
      <w:r w:rsidRPr="00F248C1">
        <w:rPr>
          <w:rFonts w:ascii="&amp;quot" w:eastAsia="Times New Roman" w:hAnsi="&amp;quot"/>
          <w:color w:val="621B4B"/>
          <w:sz w:val="43"/>
          <w:szCs w:val="43"/>
        </w:rPr>
        <w:t>Social Security System Challenges  </w:t>
      </w:r>
    </w:p>
    <w:p w14:paraId="37C24EDE" w14:textId="77777777" w:rsidR="00F248C1" w:rsidRPr="00F248C1" w:rsidRDefault="00F248C1" w:rsidP="00F248C1">
      <w:pPr>
        <w:spacing w:before="180" w:after="180" w:line="240" w:lineRule="auto"/>
        <w:rPr>
          <w:rFonts w:ascii="&amp;quot" w:eastAsia="Times New Roman" w:hAnsi="&amp;quot"/>
          <w:color w:val="2D3B45"/>
          <w:sz w:val="21"/>
          <w:szCs w:val="21"/>
        </w:rPr>
      </w:pPr>
      <w:r w:rsidRPr="00F248C1">
        <w:rPr>
          <w:rFonts w:ascii="&amp;quot" w:eastAsia="Times New Roman" w:hAnsi="&amp;quot"/>
          <w:color w:val="2D3B45"/>
          <w:sz w:val="21"/>
          <w:szCs w:val="21"/>
        </w:rPr>
        <w:t>According to some, the Social Security system is currently plagued by a variety of challenges. Provide a brief description of one of these major challenges and suggest some potential solutions based on your reading and your own research. (Some of these challenges are discussed in your text, but you are not limited to only these examples.)</w:t>
      </w:r>
    </w:p>
    <w:p w14:paraId="34587DEE" w14:textId="77777777" w:rsidR="00F248C1" w:rsidRPr="00F248C1" w:rsidRDefault="00F248C1" w:rsidP="00F248C1">
      <w:pPr>
        <w:numPr>
          <w:ilvl w:val="0"/>
          <w:numId w:val="1"/>
        </w:numPr>
        <w:spacing w:before="100" w:beforeAutospacing="1" w:after="100" w:afterAutospacing="1" w:line="240" w:lineRule="auto"/>
        <w:ind w:left="600"/>
        <w:rPr>
          <w:rFonts w:ascii="&amp;quot" w:eastAsia="Times New Roman" w:hAnsi="&amp;quot"/>
          <w:color w:val="2D3B45"/>
          <w:sz w:val="21"/>
          <w:szCs w:val="21"/>
        </w:rPr>
      </w:pPr>
      <w:r w:rsidRPr="00F248C1">
        <w:rPr>
          <w:rFonts w:ascii="&amp;quot" w:eastAsia="Times New Roman" w:hAnsi="&amp;quot"/>
          <w:color w:val="2D3B45"/>
          <w:sz w:val="21"/>
          <w:szCs w:val="21"/>
        </w:rPr>
        <w:t>Discuss the implications these challenges have on your ability to develop budgets for an organization.</w:t>
      </w:r>
    </w:p>
    <w:p w14:paraId="41E3E0CA" w14:textId="77777777" w:rsidR="00F248C1" w:rsidRPr="00F248C1" w:rsidRDefault="00F248C1" w:rsidP="00F248C1">
      <w:pPr>
        <w:numPr>
          <w:ilvl w:val="0"/>
          <w:numId w:val="1"/>
        </w:numPr>
        <w:spacing w:before="100" w:beforeAutospacing="1" w:after="0" w:line="240" w:lineRule="auto"/>
        <w:ind w:left="600"/>
        <w:rPr>
          <w:rFonts w:ascii="&amp;quot" w:eastAsia="Times New Roman" w:hAnsi="&amp;quot"/>
          <w:color w:val="2D3B45"/>
          <w:sz w:val="21"/>
          <w:szCs w:val="21"/>
        </w:rPr>
      </w:pPr>
      <w:r w:rsidRPr="00F248C1">
        <w:rPr>
          <w:rFonts w:ascii="&amp;quot" w:eastAsia="Times New Roman" w:hAnsi="&amp;quot"/>
          <w:color w:val="2D3B45"/>
          <w:sz w:val="21"/>
          <w:szCs w:val="21"/>
        </w:rPr>
        <w:t>Evaluate the role fundraising plays in filling gaps in services. </w:t>
      </w:r>
    </w:p>
    <w:p w14:paraId="5E336A3E" w14:textId="77777777" w:rsidR="00F248C1" w:rsidRPr="00F248C1" w:rsidRDefault="00F248C1" w:rsidP="00F248C1">
      <w:pPr>
        <w:spacing w:before="180" w:after="180" w:line="240" w:lineRule="auto"/>
        <w:rPr>
          <w:rFonts w:ascii="&amp;quot" w:eastAsia="Times New Roman" w:hAnsi="&amp;quot"/>
          <w:color w:val="2D3B45"/>
          <w:sz w:val="21"/>
          <w:szCs w:val="21"/>
        </w:rPr>
      </w:pPr>
      <w:r w:rsidRPr="00F248C1">
        <w:rPr>
          <w:rFonts w:ascii="&amp;quot" w:eastAsia="Times New Roman" w:hAnsi="&amp;quot"/>
          <w:color w:val="2D3B45"/>
          <w:sz w:val="21"/>
          <w:szCs w:val="21"/>
        </w:rPr>
        <w:t>Be sure to support your solutions and cite your references.</w:t>
      </w:r>
    </w:p>
    <w:p w14:paraId="757FA396" w14:textId="2FADD86B" w:rsidR="00F248C1" w:rsidRDefault="00F248C1" w:rsidP="00F248C1">
      <w:pPr>
        <w:spacing w:before="180" w:after="180" w:line="240" w:lineRule="auto"/>
        <w:rPr>
          <w:rFonts w:ascii="&amp;quot" w:eastAsia="Times New Roman" w:hAnsi="&amp;quot"/>
          <w:color w:val="2D3B45"/>
          <w:sz w:val="21"/>
          <w:szCs w:val="21"/>
        </w:rPr>
      </w:pPr>
      <w:r w:rsidRPr="00F248C1">
        <w:rPr>
          <w:rFonts w:ascii="&amp;quot" w:eastAsia="Times New Roman" w:hAnsi="&amp;quot"/>
          <w:color w:val="2D3B45"/>
          <w:sz w:val="21"/>
          <w:szCs w:val="21"/>
        </w:rPr>
        <w:t>Respond to at least two of your classmates’ postings by Day 7 and ask probing questions to your peers in the responses about the major challenges and solutions proposed.</w:t>
      </w:r>
    </w:p>
    <w:bookmarkEnd w:id="0"/>
    <w:p w14:paraId="15E58FD3" w14:textId="77777777" w:rsidR="009C610C" w:rsidRPr="009C610C" w:rsidRDefault="009C610C" w:rsidP="009C610C">
      <w:pPr>
        <w:shd w:val="clear" w:color="auto" w:fill="FFFFFF"/>
        <w:spacing w:before="90" w:after="90" w:line="240" w:lineRule="auto"/>
        <w:outlineLvl w:val="1"/>
        <w:rPr>
          <w:rFonts w:ascii="&amp;quot" w:eastAsia="Times New Roman" w:hAnsi="&amp;quot"/>
          <w:color w:val="621B4B"/>
          <w:sz w:val="43"/>
          <w:szCs w:val="43"/>
        </w:rPr>
      </w:pPr>
      <w:r w:rsidRPr="009C610C">
        <w:rPr>
          <w:rFonts w:ascii="&amp;quot" w:eastAsia="Times New Roman" w:hAnsi="&amp;quot"/>
          <w:color w:val="621B4B"/>
          <w:sz w:val="43"/>
          <w:szCs w:val="43"/>
        </w:rPr>
        <w:t>Introduction: Social Welfare and Financial Implications on Human Services Delivery</w:t>
      </w:r>
    </w:p>
    <w:p w14:paraId="22CB4A26" w14:textId="77777777" w:rsidR="009C610C" w:rsidRPr="009C610C" w:rsidRDefault="009C610C" w:rsidP="009C610C">
      <w:pPr>
        <w:spacing w:before="180" w:after="180" w:line="240" w:lineRule="auto"/>
        <w:rPr>
          <w:rFonts w:ascii="&amp;quot" w:eastAsia="Times New Roman" w:hAnsi="&amp;quot"/>
          <w:color w:val="333333"/>
          <w:sz w:val="21"/>
          <w:szCs w:val="21"/>
        </w:rPr>
      </w:pPr>
      <w:r w:rsidRPr="009C610C">
        <w:rPr>
          <w:rFonts w:ascii="&amp;quot" w:eastAsia="Times New Roman" w:hAnsi="&amp;quot"/>
          <w:color w:val="333333"/>
          <w:sz w:val="21"/>
          <w:szCs w:val="21"/>
        </w:rPr>
        <w:t>Building upon the foundation in legislative advocacy and process provided during Week One, the focus of Week Two will be on social insurance and public assistance programs.</w:t>
      </w:r>
    </w:p>
    <w:p w14:paraId="6BE86BFE" w14:textId="77777777" w:rsidR="009C610C" w:rsidRPr="009C610C" w:rsidRDefault="009C610C" w:rsidP="009C610C">
      <w:pPr>
        <w:numPr>
          <w:ilvl w:val="0"/>
          <w:numId w:val="2"/>
        </w:numPr>
        <w:spacing w:before="100" w:beforeAutospacing="1" w:after="100" w:afterAutospacing="1" w:line="240" w:lineRule="auto"/>
        <w:ind w:left="600"/>
        <w:rPr>
          <w:rFonts w:ascii="&amp;quot" w:eastAsia="Times New Roman" w:hAnsi="&amp;quot"/>
          <w:color w:val="333333"/>
          <w:sz w:val="21"/>
          <w:szCs w:val="21"/>
        </w:rPr>
      </w:pPr>
      <w:r w:rsidRPr="009C610C">
        <w:rPr>
          <w:rFonts w:ascii="&amp;quot" w:eastAsia="Times New Roman" w:hAnsi="&amp;quot"/>
          <w:b/>
          <w:bCs/>
          <w:color w:val="333333"/>
          <w:sz w:val="21"/>
          <w:szCs w:val="21"/>
        </w:rPr>
        <w:t>Social insurance</w:t>
      </w:r>
      <w:r w:rsidRPr="009C610C">
        <w:rPr>
          <w:rFonts w:ascii="&amp;quot" w:eastAsia="Times New Roman" w:hAnsi="&amp;quot"/>
          <w:color w:val="333333"/>
          <w:sz w:val="21"/>
          <w:szCs w:val="21"/>
        </w:rPr>
        <w:t xml:space="preserve"> is a wide net of services that includes such programs as Social Security, unemployment compensation, and Medicare.</w:t>
      </w:r>
    </w:p>
    <w:p w14:paraId="4E83E775" w14:textId="77777777" w:rsidR="009C610C" w:rsidRPr="009C610C" w:rsidRDefault="009C610C" w:rsidP="009C610C">
      <w:pPr>
        <w:numPr>
          <w:ilvl w:val="1"/>
          <w:numId w:val="2"/>
        </w:numPr>
        <w:spacing w:before="100" w:beforeAutospacing="1" w:after="100" w:afterAutospacing="1" w:line="240" w:lineRule="auto"/>
        <w:ind w:left="1200"/>
        <w:rPr>
          <w:rFonts w:ascii="&amp;quot" w:eastAsia="Times New Roman" w:hAnsi="&amp;quot"/>
          <w:color w:val="333333"/>
          <w:sz w:val="21"/>
          <w:szCs w:val="21"/>
        </w:rPr>
      </w:pPr>
      <w:r w:rsidRPr="009C610C">
        <w:rPr>
          <w:rFonts w:ascii="&amp;quot" w:eastAsia="Times New Roman" w:hAnsi="&amp;quot"/>
          <w:color w:val="333333"/>
          <w:sz w:val="21"/>
          <w:szCs w:val="21"/>
        </w:rPr>
        <w:t>These programs are funded through federal tax monies and are intended to provide monetary and/or medical insurance benefits to individuals meeting specific need criteria (unemployed, elderly, disabled).</w:t>
      </w:r>
    </w:p>
    <w:p w14:paraId="35535AD5" w14:textId="77777777" w:rsidR="009C610C" w:rsidRPr="009C610C" w:rsidRDefault="009C610C" w:rsidP="009C610C">
      <w:pPr>
        <w:numPr>
          <w:ilvl w:val="1"/>
          <w:numId w:val="2"/>
        </w:numPr>
        <w:spacing w:before="100" w:beforeAutospacing="1" w:after="100" w:afterAutospacing="1" w:line="240" w:lineRule="auto"/>
        <w:ind w:left="1200"/>
        <w:rPr>
          <w:rFonts w:ascii="&amp;quot" w:eastAsia="Times New Roman" w:hAnsi="&amp;quot"/>
          <w:color w:val="333333"/>
          <w:sz w:val="21"/>
          <w:szCs w:val="21"/>
        </w:rPr>
      </w:pPr>
      <w:r w:rsidRPr="009C610C">
        <w:rPr>
          <w:rFonts w:ascii="&amp;quot" w:eastAsia="Times New Roman" w:hAnsi="&amp;quot"/>
          <w:color w:val="333333"/>
          <w:sz w:val="21"/>
          <w:szCs w:val="21"/>
        </w:rPr>
        <w:t>The Social Security system has undergone many revisions over the years, but many feel it is still in need of a major overhaul to remain viable with the influx of Baby Boomers into eligibility.</w:t>
      </w:r>
    </w:p>
    <w:p w14:paraId="59D0635C" w14:textId="77777777" w:rsidR="009C610C" w:rsidRPr="009C610C" w:rsidRDefault="009C610C" w:rsidP="009C610C">
      <w:pPr>
        <w:numPr>
          <w:ilvl w:val="0"/>
          <w:numId w:val="3"/>
        </w:numPr>
        <w:spacing w:before="100" w:beforeAutospacing="1" w:after="100" w:afterAutospacing="1" w:line="240" w:lineRule="auto"/>
        <w:ind w:left="600"/>
        <w:rPr>
          <w:rFonts w:ascii="&amp;quot" w:eastAsia="Times New Roman" w:hAnsi="&amp;quot"/>
          <w:color w:val="333333"/>
          <w:sz w:val="21"/>
          <w:szCs w:val="21"/>
        </w:rPr>
      </w:pPr>
      <w:r w:rsidRPr="009C610C">
        <w:rPr>
          <w:rFonts w:ascii="&amp;quot" w:eastAsia="Times New Roman" w:hAnsi="&amp;quot"/>
          <w:color w:val="333333"/>
          <w:sz w:val="21"/>
          <w:szCs w:val="21"/>
        </w:rPr>
        <w:t xml:space="preserve">Similarly, </w:t>
      </w:r>
      <w:r w:rsidRPr="009C610C">
        <w:rPr>
          <w:rFonts w:ascii="&amp;quot" w:eastAsia="Times New Roman" w:hAnsi="&amp;quot"/>
          <w:b/>
          <w:bCs/>
          <w:color w:val="333333"/>
          <w:sz w:val="21"/>
          <w:szCs w:val="21"/>
        </w:rPr>
        <w:t>public assistance programs</w:t>
      </w:r>
      <w:r w:rsidRPr="009C610C">
        <w:rPr>
          <w:rFonts w:ascii="&amp;quot" w:eastAsia="Times New Roman" w:hAnsi="&amp;quot"/>
          <w:color w:val="333333"/>
          <w:sz w:val="21"/>
          <w:szCs w:val="21"/>
        </w:rPr>
        <w:t>, like Medicaid, provide monetary and/or medical insurance for those meeting specific income criteria. In an era of financial hardship, these programs are very much needed, but limited government funds can result in budget cuts that eliminate or reduce many programs.</w:t>
      </w:r>
    </w:p>
    <w:p w14:paraId="2A80B34A" w14:textId="77777777" w:rsidR="009C610C" w:rsidRPr="009C610C" w:rsidRDefault="009C610C" w:rsidP="009C610C">
      <w:pPr>
        <w:spacing w:before="180" w:after="180" w:line="240" w:lineRule="auto"/>
        <w:rPr>
          <w:rFonts w:ascii="&amp;quot" w:eastAsia="Times New Roman" w:hAnsi="&amp;quot"/>
          <w:color w:val="333333"/>
          <w:sz w:val="21"/>
          <w:szCs w:val="21"/>
        </w:rPr>
      </w:pPr>
      <w:r w:rsidRPr="009C610C">
        <w:rPr>
          <w:rFonts w:ascii="&amp;quot" w:eastAsia="Times New Roman" w:hAnsi="&amp;quot"/>
          <w:color w:val="333333"/>
          <w:sz w:val="21"/>
          <w:szCs w:val="21"/>
        </w:rPr>
        <w:t>You will begin to explore how social welfare policy impacts the financial health of an organization and the role policy plays in the development and monitoring of budgets and fundraising within an organization.</w:t>
      </w:r>
    </w:p>
    <w:p w14:paraId="29EABB7D" w14:textId="77777777" w:rsidR="009C610C" w:rsidRPr="009C610C" w:rsidRDefault="009C610C" w:rsidP="009C610C">
      <w:pPr>
        <w:shd w:val="clear" w:color="auto" w:fill="FFFFFF"/>
        <w:spacing w:before="90" w:after="90" w:line="240" w:lineRule="auto"/>
        <w:outlineLvl w:val="1"/>
        <w:rPr>
          <w:rFonts w:ascii="&amp;quot" w:eastAsia="Times New Roman" w:hAnsi="&amp;quot"/>
          <w:color w:val="621B4B"/>
          <w:sz w:val="43"/>
          <w:szCs w:val="43"/>
        </w:rPr>
      </w:pPr>
      <w:r w:rsidRPr="009C610C">
        <w:rPr>
          <w:rFonts w:ascii="&amp;quot" w:eastAsia="Times New Roman" w:hAnsi="&amp;quot"/>
          <w:color w:val="621B4B"/>
          <w:sz w:val="43"/>
          <w:szCs w:val="43"/>
        </w:rPr>
        <w:t>Resources</w:t>
      </w:r>
    </w:p>
    <w:p w14:paraId="2D27805B" w14:textId="77777777" w:rsidR="009C610C" w:rsidRPr="009C610C" w:rsidRDefault="009C610C" w:rsidP="009C610C">
      <w:pPr>
        <w:shd w:val="clear" w:color="auto" w:fill="FFFFFF"/>
        <w:spacing w:before="90" w:after="100" w:afterAutospacing="1" w:line="240" w:lineRule="auto"/>
        <w:outlineLvl w:val="2"/>
        <w:rPr>
          <w:rFonts w:ascii="&amp;quot" w:eastAsia="Times New Roman" w:hAnsi="&amp;quot"/>
          <w:color w:val="621B4B"/>
          <w:sz w:val="36"/>
          <w:szCs w:val="36"/>
        </w:rPr>
      </w:pPr>
      <w:r w:rsidRPr="009C610C">
        <w:rPr>
          <w:rFonts w:ascii="&amp;quot" w:eastAsia="Times New Roman" w:hAnsi="&amp;quot"/>
          <w:color w:val="621B4B"/>
          <w:sz w:val="36"/>
          <w:szCs w:val="36"/>
        </w:rPr>
        <w:t>Required Text</w:t>
      </w:r>
    </w:p>
    <w:p w14:paraId="5F73E3A5" w14:textId="77777777" w:rsidR="009C610C" w:rsidRPr="009C610C" w:rsidRDefault="009C610C" w:rsidP="009C610C">
      <w:pPr>
        <w:spacing w:before="180" w:after="180" w:line="240" w:lineRule="auto"/>
        <w:ind w:hanging="450"/>
        <w:rPr>
          <w:rFonts w:ascii="&amp;quot" w:eastAsia="Times New Roman" w:hAnsi="&amp;quot"/>
          <w:color w:val="2D3B45"/>
          <w:sz w:val="21"/>
          <w:szCs w:val="21"/>
        </w:rPr>
      </w:pPr>
      <w:r w:rsidRPr="009C610C">
        <w:rPr>
          <w:rFonts w:ascii="&amp;quot" w:eastAsia="Times New Roman" w:hAnsi="&amp;quot"/>
          <w:color w:val="2D3B45"/>
          <w:sz w:val="21"/>
          <w:szCs w:val="21"/>
        </w:rPr>
        <w:t xml:space="preserve">Herzberg, J. T. (2015). </w:t>
      </w:r>
      <w:r w:rsidRPr="009C610C">
        <w:rPr>
          <w:rFonts w:ascii="&amp;quot" w:eastAsia="Times New Roman" w:hAnsi="&amp;quot"/>
          <w:i/>
          <w:iCs/>
          <w:color w:val="2D3B45"/>
          <w:sz w:val="21"/>
          <w:szCs w:val="21"/>
        </w:rPr>
        <w:t xml:space="preserve">Foundations in human services practice: A generalist perspective on individual, agency, and community. </w:t>
      </w:r>
      <w:r w:rsidRPr="009C610C">
        <w:rPr>
          <w:rFonts w:ascii="&amp;quot" w:eastAsia="Times New Roman" w:hAnsi="&amp;quot"/>
          <w:color w:val="2D3B45"/>
          <w:sz w:val="21"/>
          <w:szCs w:val="21"/>
        </w:rPr>
        <w:t>Upper Saddle River, New Jersey: Pearson.  </w:t>
      </w:r>
      <w:r w:rsidRPr="009C610C">
        <w:rPr>
          <w:rFonts w:ascii="&amp;quot" w:eastAsia="Times New Roman" w:hAnsi="&amp;quot"/>
          <w:color w:val="2D3B45"/>
          <w:sz w:val="21"/>
          <w:szCs w:val="21"/>
        </w:rPr>
        <w:br/>
      </w:r>
      <w:r w:rsidRPr="009C610C">
        <w:rPr>
          <w:rFonts w:ascii="&amp;quot" w:eastAsia="Times New Roman" w:hAnsi="&amp;quot"/>
          <w:color w:val="2D3B45"/>
          <w:sz w:val="21"/>
          <w:szCs w:val="21"/>
        </w:rPr>
        <w:lastRenderedPageBreak/>
        <w:t>Chapter 4: Nonprofit Structure and Function</w:t>
      </w:r>
      <w:r w:rsidRPr="009C610C">
        <w:rPr>
          <w:rFonts w:ascii="&amp;quot" w:eastAsia="Times New Roman" w:hAnsi="&amp;quot"/>
          <w:color w:val="2D3B45"/>
          <w:sz w:val="21"/>
          <w:szCs w:val="21"/>
        </w:rPr>
        <w:br/>
        <w:t>Chapter 6: Fundraising in Human Services</w:t>
      </w:r>
    </w:p>
    <w:p w14:paraId="7BF120CE" w14:textId="77777777" w:rsidR="009C610C" w:rsidRPr="009C610C" w:rsidRDefault="009C610C" w:rsidP="009C610C">
      <w:pPr>
        <w:spacing w:before="180" w:after="180" w:line="240" w:lineRule="auto"/>
        <w:ind w:hanging="450"/>
        <w:rPr>
          <w:rFonts w:ascii="&amp;quot" w:eastAsia="Times New Roman" w:hAnsi="&amp;quot"/>
          <w:color w:val="2D3B45"/>
          <w:sz w:val="21"/>
          <w:szCs w:val="21"/>
        </w:rPr>
      </w:pPr>
      <w:r w:rsidRPr="009C610C">
        <w:rPr>
          <w:rFonts w:ascii="&amp;quot" w:eastAsia="Times New Roman" w:hAnsi="&amp;quot"/>
          <w:color w:val="2D3B45"/>
          <w:sz w:val="21"/>
          <w:szCs w:val="21"/>
        </w:rPr>
        <w:t xml:space="preserve">Karger, H. J. &amp; </w:t>
      </w:r>
      <w:proofErr w:type="spellStart"/>
      <w:proofErr w:type="gramStart"/>
      <w:r w:rsidRPr="009C610C">
        <w:rPr>
          <w:rFonts w:ascii="&amp;quot" w:eastAsia="Times New Roman" w:hAnsi="&amp;quot"/>
          <w:color w:val="2D3B45"/>
          <w:sz w:val="21"/>
          <w:szCs w:val="21"/>
        </w:rPr>
        <w:t>Stoesz</w:t>
      </w:r>
      <w:proofErr w:type="spellEnd"/>
      <w:r w:rsidRPr="009C610C">
        <w:rPr>
          <w:rFonts w:ascii="&amp;quot" w:eastAsia="Times New Roman" w:hAnsi="&amp;quot"/>
          <w:color w:val="2D3B45"/>
          <w:sz w:val="21"/>
          <w:szCs w:val="21"/>
        </w:rPr>
        <w:t xml:space="preserve"> ,</w:t>
      </w:r>
      <w:proofErr w:type="gramEnd"/>
      <w:r w:rsidRPr="009C610C">
        <w:rPr>
          <w:rFonts w:ascii="&amp;quot" w:eastAsia="Times New Roman" w:hAnsi="&amp;quot"/>
          <w:color w:val="2D3B45"/>
          <w:sz w:val="21"/>
          <w:szCs w:val="21"/>
        </w:rPr>
        <w:t xml:space="preserve"> D. (2018). </w:t>
      </w:r>
      <w:r w:rsidRPr="009C610C">
        <w:rPr>
          <w:rFonts w:ascii="&amp;quot" w:eastAsia="Times New Roman" w:hAnsi="&amp;quot"/>
          <w:i/>
          <w:iCs/>
          <w:color w:val="2D3B45"/>
          <w:sz w:val="21"/>
          <w:szCs w:val="21"/>
        </w:rPr>
        <w:t>American social welfare policy: A pluralist approach</w:t>
      </w:r>
      <w:r w:rsidRPr="009C610C">
        <w:rPr>
          <w:rFonts w:ascii="&amp;quot" w:eastAsia="Times New Roman" w:hAnsi="&amp;quot"/>
          <w:color w:val="2D3B45"/>
          <w:sz w:val="21"/>
          <w:szCs w:val="21"/>
        </w:rPr>
        <w:t xml:space="preserve"> (8th ed). Upper Saddle River, New Jersey: Pearson. </w:t>
      </w:r>
      <w:r w:rsidRPr="009C610C">
        <w:rPr>
          <w:rFonts w:ascii="&amp;quot" w:eastAsia="Times New Roman" w:hAnsi="&amp;quot"/>
          <w:color w:val="2D3B45"/>
          <w:sz w:val="21"/>
          <w:szCs w:val="21"/>
        </w:rPr>
        <w:br/>
        <w:t>Chapter 10: Social Insurance Programs</w:t>
      </w:r>
      <w:r w:rsidRPr="009C610C">
        <w:rPr>
          <w:rFonts w:ascii="&amp;quot" w:eastAsia="Times New Roman" w:hAnsi="&amp;quot"/>
          <w:color w:val="2D3B45"/>
          <w:sz w:val="21"/>
          <w:szCs w:val="21"/>
        </w:rPr>
        <w:br/>
        <w:t>Chapter 11: Public Assistance Programs</w:t>
      </w:r>
    </w:p>
    <w:p w14:paraId="6C84864E" w14:textId="77777777" w:rsidR="009C610C" w:rsidRPr="009C610C" w:rsidRDefault="009C610C" w:rsidP="009C610C">
      <w:pPr>
        <w:shd w:val="clear" w:color="auto" w:fill="FFFFFF"/>
        <w:spacing w:before="90" w:after="100" w:afterAutospacing="1" w:line="240" w:lineRule="auto"/>
        <w:outlineLvl w:val="2"/>
        <w:rPr>
          <w:rFonts w:ascii="&amp;quot" w:eastAsia="Times New Roman" w:hAnsi="&amp;quot"/>
          <w:color w:val="621B4B"/>
          <w:sz w:val="36"/>
          <w:szCs w:val="36"/>
        </w:rPr>
      </w:pPr>
      <w:r w:rsidRPr="009C610C">
        <w:rPr>
          <w:rFonts w:ascii="&amp;quot" w:eastAsia="Times New Roman" w:hAnsi="&amp;quot"/>
          <w:color w:val="621B4B"/>
          <w:sz w:val="36"/>
          <w:szCs w:val="36"/>
        </w:rPr>
        <w:t>Recommended References</w:t>
      </w:r>
    </w:p>
    <w:p w14:paraId="332147C3" w14:textId="77777777" w:rsidR="009C610C" w:rsidRPr="009C610C" w:rsidRDefault="009C610C" w:rsidP="009C610C">
      <w:pPr>
        <w:spacing w:after="0" w:line="240" w:lineRule="auto"/>
        <w:ind w:hanging="450"/>
        <w:rPr>
          <w:rFonts w:ascii="&amp;quot" w:eastAsia="Times New Roman" w:hAnsi="&amp;quot"/>
          <w:color w:val="2D3B45"/>
          <w:sz w:val="21"/>
          <w:szCs w:val="21"/>
        </w:rPr>
      </w:pPr>
      <w:r w:rsidRPr="009C610C">
        <w:rPr>
          <w:rFonts w:ascii="&amp;quot" w:eastAsia="Times New Roman" w:hAnsi="&amp;quot"/>
          <w:color w:val="2D3B45"/>
          <w:sz w:val="21"/>
          <w:szCs w:val="21"/>
        </w:rPr>
        <w:t xml:space="preserve">Falk, G., (2017, November 29). </w:t>
      </w:r>
      <w:hyperlink r:id="rId5" w:tgtFrame="_blank" w:history="1">
        <w:r w:rsidRPr="009C610C">
          <w:rPr>
            <w:rFonts w:ascii="&amp;quot" w:eastAsia="Times New Roman" w:hAnsi="&amp;quot"/>
            <w:i/>
            <w:iCs/>
            <w:color w:val="0000FF"/>
            <w:sz w:val="21"/>
            <w:szCs w:val="21"/>
            <w:u w:val="single"/>
          </w:rPr>
          <w:t>The Temporary Assistance for Needy Families (TANF) Block Grant: A Legislative History</w:t>
        </w:r>
        <w:r w:rsidRPr="009C610C">
          <w:rPr>
            <w:rFonts w:ascii="&amp;quot" w:eastAsia="Times New Roman" w:hAnsi="&amp;quot"/>
            <w:i/>
            <w:iCs/>
            <w:color w:val="0000FF"/>
            <w:sz w:val="21"/>
            <w:szCs w:val="21"/>
            <w:bdr w:val="none" w:sz="0" w:space="0" w:color="auto" w:frame="1"/>
          </w:rPr>
          <w:t> (Links to an external site.)</w:t>
        </w:r>
      </w:hyperlink>
      <w:r w:rsidRPr="009C610C">
        <w:rPr>
          <w:rFonts w:ascii="&amp;quot" w:eastAsia="Times New Roman" w:hAnsi="&amp;quot"/>
          <w:i/>
          <w:iCs/>
          <w:color w:val="2D3B45"/>
          <w:sz w:val="21"/>
          <w:szCs w:val="21"/>
        </w:rPr>
        <w:t xml:space="preserve">. </w:t>
      </w:r>
      <w:r w:rsidRPr="009C610C">
        <w:rPr>
          <w:rFonts w:ascii="&amp;quot" w:eastAsia="Times New Roman" w:hAnsi="&amp;quot"/>
          <w:color w:val="2D3B45"/>
          <w:sz w:val="21"/>
          <w:szCs w:val="21"/>
        </w:rPr>
        <w:t>Congressional Research Service. Retrieved from https://fas.org/sgp/crs/misc/R44668.pdf</w:t>
      </w:r>
    </w:p>
    <w:p w14:paraId="3B545BFC" w14:textId="77777777" w:rsidR="009C610C" w:rsidRPr="00F248C1" w:rsidRDefault="009C610C" w:rsidP="00F248C1">
      <w:pPr>
        <w:spacing w:before="180" w:after="180" w:line="240" w:lineRule="auto"/>
        <w:rPr>
          <w:rFonts w:ascii="&amp;quot" w:eastAsia="Times New Roman" w:hAnsi="&amp;quot"/>
          <w:color w:val="2D3B45"/>
          <w:sz w:val="21"/>
          <w:szCs w:val="21"/>
        </w:rPr>
      </w:pPr>
    </w:p>
    <w:p w14:paraId="5DB83A47" w14:textId="77777777" w:rsidR="00931972" w:rsidRDefault="00931972"/>
    <w:sectPr w:rsidR="0093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0B7"/>
    <w:multiLevelType w:val="multilevel"/>
    <w:tmpl w:val="26D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715E0"/>
    <w:multiLevelType w:val="multilevel"/>
    <w:tmpl w:val="AC8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93669"/>
    <w:multiLevelType w:val="multilevel"/>
    <w:tmpl w:val="317E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1"/>
    <w:rsid w:val="00891D98"/>
    <w:rsid w:val="00931972"/>
    <w:rsid w:val="009C610C"/>
    <w:rsid w:val="00CA2DA5"/>
    <w:rsid w:val="00F248C1"/>
    <w:rsid w:val="00FC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0668"/>
  <w15:chartTrackingRefBased/>
  <w15:docId w15:val="{D4E432DA-51D4-43DE-9EE8-ED7C565F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5329">
      <w:bodyDiv w:val="1"/>
      <w:marLeft w:val="0"/>
      <w:marRight w:val="0"/>
      <w:marTop w:val="0"/>
      <w:marBottom w:val="0"/>
      <w:divBdr>
        <w:top w:val="none" w:sz="0" w:space="0" w:color="auto"/>
        <w:left w:val="none" w:sz="0" w:space="0" w:color="auto"/>
        <w:bottom w:val="none" w:sz="0" w:space="0" w:color="auto"/>
        <w:right w:val="none" w:sz="0" w:space="0" w:color="auto"/>
      </w:divBdr>
    </w:div>
    <w:div w:id="192811986">
      <w:bodyDiv w:val="1"/>
      <w:marLeft w:val="0"/>
      <w:marRight w:val="0"/>
      <w:marTop w:val="0"/>
      <w:marBottom w:val="0"/>
      <w:divBdr>
        <w:top w:val="none" w:sz="0" w:space="0" w:color="auto"/>
        <w:left w:val="none" w:sz="0" w:space="0" w:color="auto"/>
        <w:bottom w:val="none" w:sz="0" w:space="0" w:color="auto"/>
        <w:right w:val="none" w:sz="0" w:space="0" w:color="auto"/>
      </w:divBdr>
    </w:div>
    <w:div w:id="11662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s.org/sgp/crs/misc/R4466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2020-11-11T06:04:00Z</dcterms:created>
  <dcterms:modified xsi:type="dcterms:W3CDTF">2020-11-11T06:04:00Z</dcterms:modified>
</cp:coreProperties>
</file>