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1008D" w14:textId="77777777" w:rsidR="003E0A63" w:rsidRPr="003E0A63" w:rsidRDefault="003E0A63" w:rsidP="003E0A63">
      <w:pPr>
        <w:shd w:val="clear" w:color="auto" w:fill="E6E6E6"/>
        <w:spacing w:line="468" w:lineRule="atLeast"/>
        <w:ind w:left="0" w:firstLine="0"/>
        <w:jc w:val="center"/>
        <w:rPr>
          <w:rFonts w:ascii="Georgia" w:eastAsia="Times New Roman" w:hAnsi="Georgia"/>
          <w:color w:val="111111"/>
          <w:sz w:val="23"/>
          <w:szCs w:val="23"/>
        </w:rPr>
      </w:pPr>
      <w:r w:rsidRPr="003E0A63">
        <w:rPr>
          <w:rFonts w:eastAsia="Times New Roman"/>
          <w:color w:val="000000"/>
          <w:bdr w:val="none" w:sz="0" w:space="0" w:color="auto" w:frame="1"/>
        </w:rPr>
        <w:t>W</w:t>
      </w:r>
      <w:r w:rsidRPr="003E0A63">
        <w:rPr>
          <w:rFonts w:eastAsia="Times New Roman"/>
          <w:color w:val="000000"/>
          <w:sz w:val="27"/>
          <w:szCs w:val="27"/>
          <w:bdr w:val="none" w:sz="0" w:space="0" w:color="auto" w:frame="1"/>
        </w:rPr>
        <w:t>eek 3 Discussion</w:t>
      </w:r>
    </w:p>
    <w:p w14:paraId="09DEF1D9" w14:textId="77777777" w:rsidR="003E0A63" w:rsidRPr="003E0A63" w:rsidRDefault="003E0A63" w:rsidP="003E0A63">
      <w:pPr>
        <w:shd w:val="clear" w:color="auto" w:fill="E6E6E6"/>
        <w:spacing w:line="468" w:lineRule="atLeast"/>
        <w:ind w:left="0" w:firstLine="0"/>
        <w:jc w:val="center"/>
        <w:rPr>
          <w:rFonts w:ascii="Georgia" w:eastAsia="Times New Roman" w:hAnsi="Georgia"/>
          <w:color w:val="111111"/>
          <w:sz w:val="23"/>
          <w:szCs w:val="23"/>
        </w:rPr>
      </w:pPr>
      <w:proofErr w:type="spellStart"/>
      <w:r w:rsidRPr="003E0A63">
        <w:rPr>
          <w:rFonts w:eastAsia="Times New Roman"/>
          <w:color w:val="000000"/>
          <w:sz w:val="27"/>
          <w:szCs w:val="27"/>
          <w:bdr w:val="none" w:sz="0" w:space="0" w:color="auto" w:frame="1"/>
        </w:rPr>
        <w:t>Taymir</w:t>
      </w:r>
      <w:proofErr w:type="spellEnd"/>
      <w:r w:rsidRPr="003E0A63">
        <w:rPr>
          <w:rFonts w:eastAsia="Times New Roman"/>
          <w:color w:val="000000"/>
          <w:sz w:val="27"/>
          <w:szCs w:val="27"/>
          <w:bdr w:val="none" w:sz="0" w:space="0" w:color="auto" w:frame="1"/>
        </w:rPr>
        <w:t xml:space="preserve"> Torres</w:t>
      </w:r>
    </w:p>
    <w:p w14:paraId="48F0D664" w14:textId="77777777" w:rsidR="003E0A63" w:rsidRPr="003E0A63" w:rsidRDefault="003E0A63" w:rsidP="003E0A63">
      <w:pPr>
        <w:shd w:val="clear" w:color="auto" w:fill="E6E6E6"/>
        <w:spacing w:line="468" w:lineRule="atLeast"/>
        <w:ind w:left="0" w:firstLine="0"/>
        <w:jc w:val="center"/>
        <w:rPr>
          <w:rFonts w:ascii="Georgia" w:eastAsia="Times New Roman" w:hAnsi="Georgia"/>
          <w:color w:val="111111"/>
          <w:sz w:val="23"/>
          <w:szCs w:val="23"/>
        </w:rPr>
      </w:pPr>
      <w:r w:rsidRPr="003E0A63">
        <w:rPr>
          <w:rFonts w:eastAsia="Times New Roman"/>
          <w:color w:val="000000"/>
          <w:sz w:val="27"/>
          <w:szCs w:val="27"/>
          <w:bdr w:val="none" w:sz="0" w:space="0" w:color="auto" w:frame="1"/>
        </w:rPr>
        <w:t>Nursing Role and Scope</w:t>
      </w:r>
    </w:p>
    <w:p w14:paraId="5A5D9BE2" w14:textId="77777777" w:rsidR="003E0A63" w:rsidRPr="003E0A63" w:rsidRDefault="003E0A63" w:rsidP="003E0A63">
      <w:pPr>
        <w:shd w:val="clear" w:color="auto" w:fill="E6E6E6"/>
        <w:spacing w:line="468" w:lineRule="atLeast"/>
        <w:ind w:left="0" w:firstLine="0"/>
        <w:jc w:val="center"/>
        <w:rPr>
          <w:rFonts w:ascii="Georgia" w:eastAsia="Times New Roman" w:hAnsi="Georgia"/>
          <w:color w:val="111111"/>
          <w:sz w:val="23"/>
          <w:szCs w:val="23"/>
        </w:rPr>
      </w:pPr>
      <w:r w:rsidRPr="003E0A63">
        <w:rPr>
          <w:rFonts w:eastAsia="Times New Roman"/>
          <w:color w:val="000000"/>
          <w:sz w:val="27"/>
          <w:szCs w:val="27"/>
          <w:bdr w:val="none" w:sz="0" w:space="0" w:color="auto" w:frame="1"/>
        </w:rPr>
        <w:t>Prof. Lourdes Castaneda</w:t>
      </w:r>
    </w:p>
    <w:p w14:paraId="543219F9" w14:textId="77777777" w:rsidR="003E0A63" w:rsidRPr="003E0A63" w:rsidRDefault="003E0A63" w:rsidP="003E0A63">
      <w:pPr>
        <w:shd w:val="clear" w:color="auto" w:fill="E6E6E6"/>
        <w:spacing w:line="468" w:lineRule="atLeast"/>
        <w:ind w:left="0" w:firstLine="0"/>
        <w:jc w:val="center"/>
        <w:rPr>
          <w:rFonts w:ascii="Georgia" w:eastAsia="Times New Roman" w:hAnsi="Georgia"/>
          <w:color w:val="111111"/>
          <w:sz w:val="23"/>
          <w:szCs w:val="23"/>
        </w:rPr>
      </w:pPr>
      <w:r w:rsidRPr="003E0A63">
        <w:rPr>
          <w:rFonts w:eastAsia="Times New Roman"/>
          <w:color w:val="000000"/>
          <w:sz w:val="27"/>
          <w:szCs w:val="27"/>
          <w:bdr w:val="none" w:sz="0" w:space="0" w:color="auto" w:frame="1"/>
        </w:rPr>
        <w:t>Florida National University</w:t>
      </w:r>
    </w:p>
    <w:p w14:paraId="211B3C60" w14:textId="77777777" w:rsidR="003E0A63" w:rsidRPr="003E0A63" w:rsidRDefault="003E0A63" w:rsidP="003E0A63">
      <w:pPr>
        <w:shd w:val="clear" w:color="auto" w:fill="E6E6E6"/>
        <w:spacing w:line="468" w:lineRule="atLeast"/>
        <w:ind w:left="0" w:firstLine="0"/>
        <w:jc w:val="center"/>
        <w:rPr>
          <w:rFonts w:ascii="Georgia" w:eastAsia="Times New Roman" w:hAnsi="Georgia"/>
          <w:color w:val="111111"/>
          <w:sz w:val="23"/>
          <w:szCs w:val="23"/>
        </w:rPr>
      </w:pPr>
      <w:r w:rsidRPr="003E0A63">
        <w:rPr>
          <w:rFonts w:eastAsia="Times New Roman"/>
          <w:color w:val="000000"/>
          <w:sz w:val="27"/>
          <w:szCs w:val="27"/>
          <w:bdr w:val="none" w:sz="0" w:space="0" w:color="auto" w:frame="1"/>
        </w:rPr>
        <w:t>Sep 17, 2019</w:t>
      </w:r>
    </w:p>
    <w:p w14:paraId="2CE7FD54" w14:textId="77777777" w:rsidR="003E0A63" w:rsidRPr="003E0A63" w:rsidRDefault="003E0A63" w:rsidP="003E0A63">
      <w:pPr>
        <w:numPr>
          <w:ilvl w:val="0"/>
          <w:numId w:val="1"/>
        </w:numPr>
        <w:shd w:val="clear" w:color="auto" w:fill="E6E6E6"/>
        <w:ind w:left="0"/>
        <w:rPr>
          <w:rFonts w:ascii="inherit" w:eastAsia="Times New Roman" w:hAnsi="inherit" w:cs="Tahoma"/>
          <w:color w:val="111111"/>
          <w:sz w:val="20"/>
          <w:szCs w:val="20"/>
        </w:rPr>
      </w:pPr>
      <w:r w:rsidRPr="003E0A63">
        <w:rPr>
          <w:rFonts w:eastAsia="Times New Roman"/>
          <w:color w:val="000000"/>
          <w:sz w:val="27"/>
          <w:szCs w:val="27"/>
          <w:bdr w:val="none" w:sz="0" w:space="0" w:color="auto" w:frame="1"/>
        </w:rPr>
        <w:t xml:space="preserve">What are your beliefs about the major concepts in nursing- person, environment, health, </w:t>
      </w:r>
      <w:proofErr w:type="gramStart"/>
      <w:r w:rsidRPr="003E0A63">
        <w:rPr>
          <w:rFonts w:eastAsia="Times New Roman"/>
          <w:color w:val="000000"/>
          <w:sz w:val="27"/>
          <w:szCs w:val="27"/>
          <w:bdr w:val="none" w:sz="0" w:space="0" w:color="auto" w:frame="1"/>
        </w:rPr>
        <w:t>nursing</w:t>
      </w:r>
      <w:proofErr w:type="gramEnd"/>
    </w:p>
    <w:p w14:paraId="5AEE39CF" w14:textId="77777777" w:rsidR="003E0A63" w:rsidRPr="003E0A63" w:rsidRDefault="003E0A63" w:rsidP="003E0A63">
      <w:pPr>
        <w:shd w:val="clear" w:color="auto" w:fill="E6E6E6"/>
        <w:spacing w:line="468" w:lineRule="atLeast"/>
        <w:ind w:left="0" w:firstLine="360"/>
        <w:jc w:val="both"/>
        <w:rPr>
          <w:rFonts w:ascii="Georgia" w:eastAsia="Times New Roman" w:hAnsi="Georgia"/>
          <w:color w:val="111111"/>
          <w:sz w:val="23"/>
          <w:szCs w:val="23"/>
        </w:rPr>
      </w:pPr>
      <w:r w:rsidRPr="003E0A63">
        <w:rPr>
          <w:rFonts w:eastAsia="Times New Roman"/>
          <w:color w:val="000000"/>
          <w:sz w:val="27"/>
          <w:szCs w:val="27"/>
          <w:bdr w:val="none" w:sz="0" w:space="0" w:color="auto" w:frame="1"/>
        </w:rPr>
        <w:t>The four metaparadigms of nursing are person, environment, health, and nursing. </w:t>
      </w:r>
      <w:r w:rsidRPr="003E0A63">
        <w:rPr>
          <w:rFonts w:eastAsia="Times New Roman"/>
          <w:color w:val="111111"/>
          <w:sz w:val="27"/>
          <w:szCs w:val="27"/>
          <w:bdr w:val="none" w:sz="0" w:space="0" w:color="auto" w:frame="1"/>
        </w:rPr>
        <w:t>I believe that "person" focuses on the patient who is the recipient of care. This may encompass things such as a person's spirituality, culture, family and friends or even their socioeconomic status.</w:t>
      </w:r>
    </w:p>
    <w:p w14:paraId="002CA02E" w14:textId="77777777" w:rsidR="003E0A63" w:rsidRPr="003E0A63" w:rsidRDefault="003E0A63" w:rsidP="003E0A63">
      <w:pPr>
        <w:shd w:val="clear" w:color="auto" w:fill="E6E6E6"/>
        <w:spacing w:line="468" w:lineRule="atLeast"/>
        <w:ind w:left="0" w:firstLine="0"/>
        <w:jc w:val="both"/>
        <w:rPr>
          <w:rFonts w:ascii="Georgia" w:eastAsia="Times New Roman" w:hAnsi="Georgia"/>
          <w:color w:val="111111"/>
          <w:sz w:val="23"/>
          <w:szCs w:val="23"/>
        </w:rPr>
      </w:pPr>
      <w:r w:rsidRPr="003E0A63">
        <w:rPr>
          <w:rFonts w:eastAsia="Times New Roman"/>
          <w:color w:val="000000"/>
          <w:sz w:val="27"/>
          <w:szCs w:val="27"/>
          <w:bdr w:val="none" w:sz="0" w:space="0" w:color="auto" w:frame="1"/>
        </w:rPr>
        <w:t>The metaparadigm environment includes both internal and external factors related to the patient. This may include the interactions patients have with visitors as well as their surroundings (Watson, J., &amp; Watson, 2014).</w:t>
      </w:r>
    </w:p>
    <w:p w14:paraId="4B09C05A" w14:textId="77777777" w:rsidR="003E0A63" w:rsidRPr="003E0A63" w:rsidRDefault="003E0A63" w:rsidP="003E0A63">
      <w:pPr>
        <w:shd w:val="clear" w:color="auto" w:fill="E6E6E6"/>
        <w:spacing w:line="468" w:lineRule="atLeast"/>
        <w:ind w:left="0" w:firstLine="720"/>
        <w:jc w:val="both"/>
        <w:rPr>
          <w:rFonts w:ascii="Georgia" w:eastAsia="Times New Roman" w:hAnsi="Georgia"/>
          <w:color w:val="111111"/>
          <w:sz w:val="23"/>
          <w:szCs w:val="23"/>
        </w:rPr>
      </w:pPr>
      <w:r w:rsidRPr="003E0A63">
        <w:rPr>
          <w:rFonts w:eastAsia="Times New Roman"/>
          <w:color w:val="000000"/>
          <w:sz w:val="27"/>
          <w:szCs w:val="27"/>
          <w:bdr w:val="none" w:sz="0" w:space="0" w:color="auto" w:frame="1"/>
        </w:rPr>
        <w:t>The metaparadigm of health refers to the quality and wellness of the patient. It also includes the access the patient has to health care. The fourth metaparadigm is the nursing, this refers to the nurse and how he or she will apply their knowledge and skills when caring for patients. It also refers to the attributes of the nurse who is providing the care (Watson, J., &amp; Watson, 2014).</w:t>
      </w:r>
    </w:p>
    <w:p w14:paraId="50252D03" w14:textId="77777777" w:rsidR="003E0A63" w:rsidRPr="003E0A63" w:rsidRDefault="003E0A63" w:rsidP="003E0A63">
      <w:pPr>
        <w:shd w:val="clear" w:color="auto" w:fill="E6E6E6"/>
        <w:spacing w:line="468" w:lineRule="atLeast"/>
        <w:ind w:left="0" w:firstLine="720"/>
        <w:jc w:val="both"/>
        <w:rPr>
          <w:rFonts w:ascii="Georgia" w:eastAsia="Times New Roman" w:hAnsi="Georgia"/>
          <w:color w:val="111111"/>
          <w:sz w:val="23"/>
          <w:szCs w:val="23"/>
        </w:rPr>
      </w:pPr>
      <w:r w:rsidRPr="003E0A63">
        <w:rPr>
          <w:rFonts w:eastAsia="Times New Roman"/>
          <w:color w:val="000000"/>
          <w:sz w:val="27"/>
          <w:szCs w:val="27"/>
          <w:bdr w:val="none" w:sz="0" w:space="0" w:color="auto" w:frame="1"/>
        </w:rPr>
        <w:t xml:space="preserve">Are essential for nurses to apply these four meta paradigms to the nursing process when caring for patients in order to address patient </w:t>
      </w:r>
      <w:proofErr w:type="gramStart"/>
      <w:r w:rsidRPr="003E0A63">
        <w:rPr>
          <w:rFonts w:eastAsia="Times New Roman"/>
          <w:color w:val="000000"/>
          <w:sz w:val="27"/>
          <w:szCs w:val="27"/>
          <w:bdr w:val="none" w:sz="0" w:space="0" w:color="auto" w:frame="1"/>
        </w:rPr>
        <w:t>care as a whole</w:t>
      </w:r>
      <w:proofErr w:type="gramEnd"/>
      <w:r w:rsidRPr="003E0A63">
        <w:rPr>
          <w:rFonts w:eastAsia="Times New Roman"/>
          <w:color w:val="000000"/>
          <w:sz w:val="27"/>
          <w:szCs w:val="27"/>
          <w:bdr w:val="none" w:sz="0" w:space="0" w:color="auto" w:frame="1"/>
        </w:rPr>
        <w:t>. These concepts provide individual interpretations of these four metaparadigms are Jean Watson, Florence Nightingale, and Dorothea Orem. There are similarities and differences in their viewpoints of these metaparadigms, but all share the common goal of striving to achieve the best possible patient care possible (Watson, J., &amp; Watson, 2014).</w:t>
      </w:r>
    </w:p>
    <w:p w14:paraId="3D3CBF08" w14:textId="77777777" w:rsidR="003E0A63" w:rsidRPr="003E0A63" w:rsidRDefault="003E0A63" w:rsidP="003E0A63">
      <w:pPr>
        <w:numPr>
          <w:ilvl w:val="0"/>
          <w:numId w:val="2"/>
        </w:numPr>
        <w:shd w:val="clear" w:color="auto" w:fill="E6E6E6"/>
        <w:ind w:left="0"/>
        <w:rPr>
          <w:rFonts w:ascii="inherit" w:eastAsia="Times New Roman" w:hAnsi="inherit" w:cs="Tahoma"/>
          <w:color w:val="111111"/>
          <w:sz w:val="20"/>
          <w:szCs w:val="20"/>
        </w:rPr>
      </w:pPr>
      <w:r w:rsidRPr="003E0A63">
        <w:rPr>
          <w:rFonts w:eastAsia="Times New Roman"/>
          <w:color w:val="000000"/>
          <w:sz w:val="27"/>
          <w:szCs w:val="27"/>
          <w:bdr w:val="none" w:sz="0" w:space="0" w:color="auto" w:frame="1"/>
        </w:rPr>
        <w:t>Do you believe there is more than one right answer to situations?  How do you value the whole individual?  What barriers prevent us from responding to the contextual needs of our patients?</w:t>
      </w:r>
    </w:p>
    <w:p w14:paraId="5E7961CF" w14:textId="77777777" w:rsidR="003E0A63" w:rsidRPr="003E0A63" w:rsidRDefault="003E0A63" w:rsidP="003E0A63">
      <w:pPr>
        <w:shd w:val="clear" w:color="auto" w:fill="E6E6E6"/>
        <w:spacing w:line="468" w:lineRule="atLeast"/>
        <w:ind w:left="0" w:firstLine="360"/>
        <w:jc w:val="both"/>
        <w:rPr>
          <w:rFonts w:ascii="Georgia" w:eastAsia="Times New Roman" w:hAnsi="Georgia"/>
          <w:color w:val="111111"/>
          <w:sz w:val="23"/>
          <w:szCs w:val="23"/>
        </w:rPr>
      </w:pPr>
      <w:r w:rsidRPr="003E0A63">
        <w:rPr>
          <w:rFonts w:eastAsia="Times New Roman"/>
          <w:color w:val="000000"/>
          <w:sz w:val="27"/>
          <w:szCs w:val="27"/>
          <w:bdr w:val="none" w:sz="0" w:space="0" w:color="auto" w:frame="1"/>
        </w:rPr>
        <w:lastRenderedPageBreak/>
        <w:t>When describing my viewpoints this point, I believe that it is essential for nurses to establish relationships with their patients. Because this connection with patients, they open the vision of other options to solve or intervene in certain situations, however, as nurses it is crucial to know that there will always be dominant factors in the healthcare environment. Establishing relationships can ultimately lead to nurses gaining even more patient information, which helps to promote better healing. Is imperative for nurses to educate and guide patients to restore optimal health. The nurse should be a leader who is able to teach patients ways to further promote the healing process (</w:t>
      </w:r>
      <w:r w:rsidRPr="003E0A63">
        <w:rPr>
          <w:rFonts w:ascii="inherit" w:eastAsia="Times New Roman" w:hAnsi="inherit"/>
          <w:color w:val="000000"/>
          <w:bdr w:val="none" w:sz="0" w:space="0" w:color="auto" w:frame="1"/>
          <w:shd w:val="clear" w:color="auto" w:fill="FFFFFF"/>
        </w:rPr>
        <w:t>Smith, M. C., &amp; Parker, 2015)</w:t>
      </w:r>
      <w:r w:rsidRPr="003E0A63">
        <w:rPr>
          <w:rFonts w:eastAsia="Times New Roman"/>
          <w:color w:val="000000"/>
          <w:sz w:val="27"/>
          <w:szCs w:val="27"/>
          <w:bdr w:val="none" w:sz="0" w:space="0" w:color="auto" w:frame="1"/>
        </w:rPr>
        <w:t>.</w:t>
      </w:r>
    </w:p>
    <w:p w14:paraId="71AA1C1C" w14:textId="77777777" w:rsidR="003E0A63" w:rsidRPr="003E0A63" w:rsidRDefault="003E0A63" w:rsidP="003E0A63">
      <w:pPr>
        <w:shd w:val="clear" w:color="auto" w:fill="E6E6E6"/>
        <w:spacing w:line="468" w:lineRule="atLeast"/>
        <w:ind w:left="0" w:firstLine="360"/>
        <w:jc w:val="both"/>
        <w:rPr>
          <w:rFonts w:ascii="Georgia" w:eastAsia="Times New Roman" w:hAnsi="Georgia"/>
          <w:color w:val="111111"/>
          <w:sz w:val="23"/>
          <w:szCs w:val="23"/>
        </w:rPr>
      </w:pPr>
      <w:r w:rsidRPr="003E0A63">
        <w:rPr>
          <w:rFonts w:eastAsia="Times New Roman"/>
          <w:color w:val="000000"/>
          <w:sz w:val="27"/>
          <w:szCs w:val="27"/>
          <w:bdr w:val="none" w:sz="0" w:space="0" w:color="auto" w:frame="1"/>
        </w:rPr>
        <w:t>It is equally essential for caring to be another integral component to the nursing process by focusing on the person as a whole and ensuring that nurses will provide care to patients physically, mentally, and spiritually.</w:t>
      </w:r>
    </w:p>
    <w:p w14:paraId="26055D2D" w14:textId="77777777" w:rsidR="003E0A63" w:rsidRPr="003E0A63" w:rsidRDefault="003E0A63" w:rsidP="003E0A63">
      <w:pPr>
        <w:shd w:val="clear" w:color="auto" w:fill="E6E6E6"/>
        <w:spacing w:line="468" w:lineRule="atLeast"/>
        <w:ind w:left="0" w:firstLine="360"/>
        <w:jc w:val="both"/>
        <w:rPr>
          <w:rFonts w:ascii="Georgia" w:eastAsia="Times New Roman" w:hAnsi="Georgia"/>
          <w:color w:val="111111"/>
          <w:sz w:val="23"/>
          <w:szCs w:val="23"/>
        </w:rPr>
      </w:pPr>
      <w:r w:rsidRPr="003E0A63">
        <w:rPr>
          <w:rFonts w:eastAsia="Times New Roman"/>
          <w:color w:val="000000"/>
          <w:sz w:val="27"/>
          <w:szCs w:val="27"/>
          <w:bdr w:val="none" w:sz="0" w:space="0" w:color="auto" w:frame="1"/>
        </w:rPr>
        <w:t xml:space="preserve">The barriers are Access barriers, may not always be mutually exclusive and may interact and influence each other. Although we acknowledge that there is no universally accepted definition of access to health services, we use the definition by which implies the timely use of service according to need. Access has four dimensions: availability, geographic accessibility, affordability, and acceptability (Ashford, </w:t>
      </w:r>
      <w:proofErr w:type="spellStart"/>
      <w:r w:rsidRPr="003E0A63">
        <w:rPr>
          <w:rFonts w:eastAsia="Times New Roman"/>
          <w:color w:val="000000"/>
          <w:sz w:val="27"/>
          <w:szCs w:val="27"/>
          <w:bdr w:val="none" w:sz="0" w:space="0" w:color="auto" w:frame="1"/>
        </w:rPr>
        <w:t>Gwatkin</w:t>
      </w:r>
      <w:proofErr w:type="spellEnd"/>
      <w:r w:rsidRPr="003E0A63">
        <w:rPr>
          <w:rFonts w:eastAsia="Times New Roman"/>
          <w:color w:val="000000"/>
          <w:sz w:val="27"/>
          <w:szCs w:val="27"/>
          <w:bdr w:val="none" w:sz="0" w:space="0" w:color="auto" w:frame="1"/>
        </w:rPr>
        <w:t xml:space="preserve"> &amp; </w:t>
      </w:r>
      <w:proofErr w:type="spellStart"/>
      <w:r w:rsidRPr="003E0A63">
        <w:rPr>
          <w:rFonts w:eastAsia="Times New Roman"/>
          <w:color w:val="000000"/>
          <w:sz w:val="27"/>
          <w:szCs w:val="27"/>
          <w:bdr w:val="none" w:sz="0" w:space="0" w:color="auto" w:frame="1"/>
        </w:rPr>
        <w:t>Yazbeck</w:t>
      </w:r>
      <w:proofErr w:type="spellEnd"/>
      <w:r w:rsidRPr="003E0A63">
        <w:rPr>
          <w:rFonts w:eastAsia="Times New Roman"/>
          <w:color w:val="000000"/>
          <w:sz w:val="27"/>
          <w:szCs w:val="27"/>
          <w:bdr w:val="none" w:sz="0" w:space="0" w:color="auto" w:frame="1"/>
        </w:rPr>
        <w:t>, 2016).</w:t>
      </w:r>
    </w:p>
    <w:p w14:paraId="36D45CB1" w14:textId="77777777" w:rsidR="003E0A63" w:rsidRPr="003E0A63" w:rsidRDefault="003E0A63" w:rsidP="003E0A63">
      <w:pPr>
        <w:shd w:val="clear" w:color="auto" w:fill="E6E6E6"/>
        <w:spacing w:line="468" w:lineRule="atLeast"/>
        <w:ind w:left="0" w:firstLine="360"/>
        <w:jc w:val="both"/>
        <w:rPr>
          <w:rFonts w:ascii="Georgia" w:eastAsia="Times New Roman" w:hAnsi="Georgia"/>
          <w:color w:val="111111"/>
          <w:sz w:val="23"/>
          <w:szCs w:val="23"/>
        </w:rPr>
      </w:pPr>
      <w:r w:rsidRPr="003E0A63">
        <w:rPr>
          <w:rFonts w:eastAsia="Times New Roman"/>
          <w:color w:val="000000"/>
          <w:sz w:val="27"/>
          <w:szCs w:val="27"/>
          <w:bdr w:val="none" w:sz="0" w:space="0" w:color="auto" w:frame="1"/>
        </w:rPr>
        <w:t>Barriers to accessing health services can stem from the demand-side and/or the supply side. Demand-side determinants are factors influencing the ability to use health services at individual, household or community level, while supply-side determinants are aspects inherent to the health system that hinders service uptake by individuals, households or the community. The need to differentiate demand-side from supply-side barriers is related to the formulation of appropriate interventions, although both sides have to be addressed concurrently (</w:t>
      </w:r>
      <w:proofErr w:type="spellStart"/>
      <w:r w:rsidRPr="003E0A63">
        <w:rPr>
          <w:rFonts w:eastAsia="Times New Roman"/>
          <w:color w:val="000000"/>
          <w:sz w:val="27"/>
          <w:szCs w:val="27"/>
          <w:bdr w:val="none" w:sz="0" w:space="0" w:color="auto" w:frame="1"/>
        </w:rPr>
        <w:t>Carrin</w:t>
      </w:r>
      <w:proofErr w:type="spellEnd"/>
      <w:r w:rsidRPr="003E0A63">
        <w:rPr>
          <w:rFonts w:eastAsia="Times New Roman"/>
          <w:color w:val="000000"/>
          <w:sz w:val="27"/>
          <w:szCs w:val="27"/>
          <w:bdr w:val="none" w:sz="0" w:space="0" w:color="auto" w:frame="1"/>
        </w:rPr>
        <w:t xml:space="preserve">, </w:t>
      </w:r>
      <w:proofErr w:type="spellStart"/>
      <w:proofErr w:type="gramStart"/>
      <w:r w:rsidRPr="003E0A63">
        <w:rPr>
          <w:rFonts w:eastAsia="Times New Roman"/>
          <w:color w:val="000000"/>
          <w:sz w:val="27"/>
          <w:szCs w:val="27"/>
          <w:bdr w:val="none" w:sz="0" w:space="0" w:color="auto" w:frame="1"/>
        </w:rPr>
        <w:t>Mathauer</w:t>
      </w:r>
      <w:proofErr w:type="spellEnd"/>
      <w:r w:rsidRPr="003E0A63">
        <w:rPr>
          <w:rFonts w:eastAsia="Times New Roman"/>
          <w:color w:val="000000"/>
          <w:sz w:val="27"/>
          <w:szCs w:val="27"/>
          <w:bdr w:val="none" w:sz="0" w:space="0" w:color="auto" w:frame="1"/>
        </w:rPr>
        <w:t>  &amp;</w:t>
      </w:r>
      <w:proofErr w:type="gramEnd"/>
      <w:r w:rsidRPr="003E0A63">
        <w:rPr>
          <w:rFonts w:eastAsia="Times New Roman"/>
          <w:color w:val="000000"/>
          <w:sz w:val="27"/>
          <w:szCs w:val="27"/>
          <w:bdr w:val="none" w:sz="0" w:space="0" w:color="auto" w:frame="1"/>
        </w:rPr>
        <w:t xml:space="preserve"> Evans, 2018).</w:t>
      </w:r>
      <w:r w:rsidRPr="003E0A63">
        <w:rPr>
          <w:rFonts w:eastAsia="Times New Roman"/>
          <w:color w:val="000000"/>
          <w:sz w:val="27"/>
          <w:szCs w:val="27"/>
          <w:bdr w:val="none" w:sz="0" w:space="0" w:color="auto" w:frame="1"/>
        </w:rPr>
        <w:br w:type="textWrapping" w:clear="all"/>
      </w:r>
      <w:r w:rsidRPr="003E0A63">
        <w:rPr>
          <w:rFonts w:eastAsia="Times New Roman"/>
          <w:color w:val="000000"/>
          <w:sz w:val="27"/>
          <w:szCs w:val="27"/>
          <w:bdr w:val="none" w:sz="0" w:space="0" w:color="auto" w:frame="1"/>
        </w:rPr>
        <w:br/>
      </w:r>
    </w:p>
    <w:p w14:paraId="0BF4C7DF" w14:textId="77777777" w:rsidR="003E0A63" w:rsidRPr="003E0A63" w:rsidRDefault="003E0A63" w:rsidP="003E0A63">
      <w:pPr>
        <w:shd w:val="clear" w:color="auto" w:fill="E6E6E6"/>
        <w:spacing w:line="480" w:lineRule="atLeast"/>
        <w:ind w:left="0" w:firstLine="0"/>
        <w:jc w:val="center"/>
        <w:rPr>
          <w:rFonts w:ascii="Georgia" w:eastAsia="Times New Roman" w:hAnsi="Georgia"/>
          <w:color w:val="111111"/>
          <w:sz w:val="23"/>
          <w:szCs w:val="23"/>
        </w:rPr>
      </w:pPr>
      <w:r w:rsidRPr="003E0A63">
        <w:rPr>
          <w:rFonts w:eastAsia="Times New Roman"/>
          <w:color w:val="000000"/>
          <w:sz w:val="27"/>
          <w:szCs w:val="27"/>
          <w:bdr w:val="none" w:sz="0" w:space="0" w:color="auto" w:frame="1"/>
        </w:rPr>
        <w:lastRenderedPageBreak/>
        <w:t>References:</w:t>
      </w:r>
    </w:p>
    <w:p w14:paraId="48A47A1F" w14:textId="77777777" w:rsidR="003E0A63" w:rsidRPr="003E0A63" w:rsidRDefault="003E0A63" w:rsidP="003E0A63">
      <w:pPr>
        <w:shd w:val="clear" w:color="auto" w:fill="E6E6E6"/>
        <w:spacing w:line="480" w:lineRule="atLeast"/>
        <w:ind w:left="0" w:firstLine="0"/>
        <w:jc w:val="center"/>
        <w:rPr>
          <w:rFonts w:ascii="Georgia" w:eastAsia="Times New Roman" w:hAnsi="Georgia"/>
          <w:color w:val="111111"/>
          <w:sz w:val="23"/>
          <w:szCs w:val="23"/>
        </w:rPr>
      </w:pPr>
      <w:r w:rsidRPr="003E0A63">
        <w:rPr>
          <w:rFonts w:eastAsia="Times New Roman"/>
          <w:color w:val="000000"/>
          <w:sz w:val="27"/>
          <w:szCs w:val="27"/>
          <w:bdr w:val="none" w:sz="0" w:space="0" w:color="auto" w:frame="1"/>
        </w:rPr>
        <w:t> </w:t>
      </w:r>
    </w:p>
    <w:p w14:paraId="68EDD55F" w14:textId="77777777" w:rsidR="003E0A63" w:rsidRPr="003E0A63" w:rsidRDefault="003E0A63" w:rsidP="003E0A63">
      <w:pPr>
        <w:shd w:val="clear" w:color="auto" w:fill="E6E6E6"/>
        <w:spacing w:line="468" w:lineRule="atLeast"/>
        <w:ind w:left="567" w:hanging="567"/>
        <w:rPr>
          <w:rFonts w:ascii="Georgia" w:eastAsia="Times New Roman" w:hAnsi="Georgia"/>
          <w:color w:val="111111"/>
          <w:sz w:val="23"/>
          <w:szCs w:val="23"/>
        </w:rPr>
      </w:pPr>
      <w:r w:rsidRPr="003E0A63">
        <w:rPr>
          <w:rFonts w:ascii="inherit" w:eastAsia="Times New Roman" w:hAnsi="inherit"/>
          <w:color w:val="000000"/>
          <w:bdr w:val="none" w:sz="0" w:space="0" w:color="auto" w:frame="1"/>
          <w:shd w:val="clear" w:color="auto" w:fill="FFFFFF"/>
        </w:rPr>
        <w:t> </w:t>
      </w:r>
      <w:r w:rsidRPr="003E0A63">
        <w:rPr>
          <w:rFonts w:ascii="inherit" w:eastAsia="Times New Roman" w:hAnsi="inherit"/>
          <w:color w:val="000000"/>
          <w:bdr w:val="none" w:sz="0" w:space="0" w:color="auto" w:frame="1"/>
        </w:rPr>
        <w:t xml:space="preserve">Ashford LS, </w:t>
      </w:r>
      <w:proofErr w:type="spellStart"/>
      <w:r w:rsidRPr="003E0A63">
        <w:rPr>
          <w:rFonts w:ascii="inherit" w:eastAsia="Times New Roman" w:hAnsi="inherit"/>
          <w:color w:val="000000"/>
          <w:bdr w:val="none" w:sz="0" w:space="0" w:color="auto" w:frame="1"/>
        </w:rPr>
        <w:t>Gwatkin</w:t>
      </w:r>
      <w:proofErr w:type="spellEnd"/>
      <w:r w:rsidRPr="003E0A63">
        <w:rPr>
          <w:rFonts w:ascii="inherit" w:eastAsia="Times New Roman" w:hAnsi="inherit"/>
          <w:color w:val="000000"/>
          <w:bdr w:val="none" w:sz="0" w:space="0" w:color="auto" w:frame="1"/>
        </w:rPr>
        <w:t xml:space="preserve"> DR, </w:t>
      </w:r>
      <w:proofErr w:type="spellStart"/>
      <w:r w:rsidRPr="003E0A63">
        <w:rPr>
          <w:rFonts w:ascii="inherit" w:eastAsia="Times New Roman" w:hAnsi="inherit"/>
          <w:color w:val="000000"/>
          <w:bdr w:val="none" w:sz="0" w:space="0" w:color="auto" w:frame="1"/>
        </w:rPr>
        <w:t>Yazbeck</w:t>
      </w:r>
      <w:proofErr w:type="spellEnd"/>
      <w:r w:rsidRPr="003E0A63">
        <w:rPr>
          <w:rFonts w:ascii="inherit" w:eastAsia="Times New Roman" w:hAnsi="inherit"/>
          <w:color w:val="000000"/>
          <w:bdr w:val="none" w:sz="0" w:space="0" w:color="auto" w:frame="1"/>
        </w:rPr>
        <w:t xml:space="preserve"> A. (2016). </w:t>
      </w:r>
      <w:r w:rsidRPr="003E0A63">
        <w:rPr>
          <w:rFonts w:ascii="inherit" w:eastAsia="Times New Roman" w:hAnsi="inherit"/>
          <w:i/>
          <w:iCs/>
          <w:color w:val="000000"/>
          <w:bdr w:val="none" w:sz="0" w:space="0" w:color="auto" w:frame="1"/>
        </w:rPr>
        <w:t>Designing Health &amp; Population Programs to Reach the Poor. </w:t>
      </w:r>
      <w:r w:rsidRPr="003E0A63">
        <w:rPr>
          <w:rFonts w:ascii="inherit" w:eastAsia="Times New Roman" w:hAnsi="inherit"/>
          <w:color w:val="000000"/>
          <w:bdr w:val="none" w:sz="0" w:space="0" w:color="auto" w:frame="1"/>
        </w:rPr>
        <w:t>Washington, DC: Population Reference Bureau</w:t>
      </w:r>
    </w:p>
    <w:p w14:paraId="071F7CC0" w14:textId="77777777" w:rsidR="003E0A63" w:rsidRPr="003E0A63" w:rsidRDefault="003E0A63" w:rsidP="003E0A63">
      <w:pPr>
        <w:shd w:val="clear" w:color="auto" w:fill="E6E6E6"/>
        <w:spacing w:line="468" w:lineRule="atLeast"/>
        <w:ind w:left="567" w:hanging="567"/>
        <w:rPr>
          <w:rFonts w:ascii="Georgia" w:eastAsia="Times New Roman" w:hAnsi="Georgia"/>
          <w:color w:val="111111"/>
          <w:sz w:val="23"/>
          <w:szCs w:val="23"/>
        </w:rPr>
      </w:pPr>
      <w:proofErr w:type="spellStart"/>
      <w:r w:rsidRPr="003E0A63">
        <w:rPr>
          <w:rFonts w:eastAsia="Times New Roman"/>
          <w:color w:val="000000"/>
          <w:sz w:val="27"/>
          <w:szCs w:val="27"/>
          <w:bdr w:val="none" w:sz="0" w:space="0" w:color="auto" w:frame="1"/>
        </w:rPr>
        <w:t>Carrin</w:t>
      </w:r>
      <w:proofErr w:type="spellEnd"/>
      <w:r w:rsidRPr="003E0A63">
        <w:rPr>
          <w:rFonts w:eastAsia="Times New Roman"/>
          <w:color w:val="000000"/>
          <w:sz w:val="27"/>
          <w:szCs w:val="27"/>
          <w:bdr w:val="none" w:sz="0" w:space="0" w:color="auto" w:frame="1"/>
        </w:rPr>
        <w:t xml:space="preserve"> G, </w:t>
      </w:r>
      <w:proofErr w:type="spellStart"/>
      <w:r w:rsidRPr="003E0A63">
        <w:rPr>
          <w:rFonts w:eastAsia="Times New Roman"/>
          <w:color w:val="000000"/>
          <w:sz w:val="27"/>
          <w:szCs w:val="27"/>
          <w:bdr w:val="none" w:sz="0" w:space="0" w:color="auto" w:frame="1"/>
        </w:rPr>
        <w:t>Mathauer</w:t>
      </w:r>
      <w:proofErr w:type="spellEnd"/>
      <w:r w:rsidRPr="003E0A63">
        <w:rPr>
          <w:rFonts w:eastAsia="Times New Roman"/>
          <w:color w:val="000000"/>
          <w:sz w:val="27"/>
          <w:szCs w:val="27"/>
          <w:bdr w:val="none" w:sz="0" w:space="0" w:color="auto" w:frame="1"/>
        </w:rPr>
        <w:t xml:space="preserve"> I, Xu K, Evans DB. (2008). </w:t>
      </w:r>
      <w:r w:rsidRPr="003E0A63">
        <w:rPr>
          <w:rFonts w:eastAsia="Times New Roman"/>
          <w:i/>
          <w:iCs/>
          <w:color w:val="000000"/>
          <w:sz w:val="27"/>
          <w:szCs w:val="27"/>
          <w:bdr w:val="none" w:sz="0" w:space="0" w:color="auto" w:frame="1"/>
        </w:rPr>
        <w:t>Universal coverage of health services: tailoring its implementation</w:t>
      </w:r>
      <w:r w:rsidRPr="003E0A63">
        <w:rPr>
          <w:rFonts w:eastAsia="Times New Roman"/>
          <w:color w:val="000000"/>
          <w:sz w:val="27"/>
          <w:szCs w:val="27"/>
          <w:bdr w:val="none" w:sz="0" w:space="0" w:color="auto" w:frame="1"/>
        </w:rPr>
        <w:t>. Bulletin of the World Health Organization 86: 857–63</w:t>
      </w:r>
    </w:p>
    <w:p w14:paraId="5E01800E" w14:textId="77777777" w:rsidR="003E0A63" w:rsidRPr="003E0A63" w:rsidRDefault="003E0A63" w:rsidP="003E0A63">
      <w:pPr>
        <w:shd w:val="clear" w:color="auto" w:fill="E6E6E6"/>
        <w:spacing w:line="468" w:lineRule="atLeast"/>
        <w:ind w:left="720" w:hanging="720"/>
        <w:rPr>
          <w:rFonts w:ascii="Georgia" w:eastAsia="Times New Roman" w:hAnsi="Georgia"/>
          <w:color w:val="111111"/>
          <w:sz w:val="23"/>
          <w:szCs w:val="23"/>
        </w:rPr>
      </w:pPr>
      <w:r w:rsidRPr="003E0A63">
        <w:rPr>
          <w:rFonts w:eastAsia="Times New Roman"/>
          <w:color w:val="000000"/>
          <w:sz w:val="27"/>
          <w:szCs w:val="27"/>
          <w:bdr w:val="none" w:sz="0" w:space="0" w:color="auto" w:frame="1"/>
          <w:shd w:val="clear" w:color="auto" w:fill="FFFFFF"/>
        </w:rPr>
        <w:t>Smith, M. C., &amp; Parker, M. E. (2015). </w:t>
      </w:r>
      <w:r w:rsidRPr="003E0A63">
        <w:rPr>
          <w:rFonts w:eastAsia="Times New Roman"/>
          <w:i/>
          <w:iCs/>
          <w:color w:val="000000"/>
          <w:sz w:val="27"/>
          <w:szCs w:val="27"/>
          <w:bdr w:val="none" w:sz="0" w:space="0" w:color="auto" w:frame="1"/>
          <w:shd w:val="clear" w:color="auto" w:fill="FFFFFF"/>
        </w:rPr>
        <w:t>Nursing theories and nursing practice</w:t>
      </w:r>
      <w:r w:rsidRPr="003E0A63">
        <w:rPr>
          <w:rFonts w:eastAsia="Times New Roman"/>
          <w:color w:val="000000"/>
          <w:sz w:val="27"/>
          <w:szCs w:val="27"/>
          <w:bdr w:val="none" w:sz="0" w:space="0" w:color="auto" w:frame="1"/>
          <w:shd w:val="clear" w:color="auto" w:fill="FFFFFF"/>
        </w:rPr>
        <w:t>. FA Davis.</w:t>
      </w:r>
    </w:p>
    <w:p w14:paraId="7A9A7CAA" w14:textId="77777777" w:rsidR="003E0A63" w:rsidRPr="003E0A63" w:rsidRDefault="003E0A63" w:rsidP="003E0A63">
      <w:pPr>
        <w:shd w:val="clear" w:color="auto" w:fill="E6E6E6"/>
        <w:spacing w:line="468" w:lineRule="atLeast"/>
        <w:ind w:left="720" w:hanging="720"/>
        <w:rPr>
          <w:rFonts w:ascii="Georgia" w:eastAsia="Times New Roman" w:hAnsi="Georgia"/>
          <w:color w:val="111111"/>
          <w:sz w:val="23"/>
          <w:szCs w:val="23"/>
        </w:rPr>
      </w:pPr>
      <w:r w:rsidRPr="003E0A63">
        <w:rPr>
          <w:rFonts w:eastAsia="Times New Roman"/>
          <w:color w:val="000000"/>
          <w:sz w:val="27"/>
          <w:szCs w:val="27"/>
          <w:bdr w:val="none" w:sz="0" w:space="0" w:color="auto" w:frame="1"/>
        </w:rPr>
        <w:t>Watson, J., &amp; Watson, J. (2014). Human caring science: A Theory of Nursing (2nd ed.). Sudbury, MA: Jones &amp; Bartlett Learning</w:t>
      </w:r>
    </w:p>
    <w:p w14:paraId="24885BFF" w14:textId="77777777" w:rsidR="0041068F" w:rsidRDefault="003E0A63">
      <w:bookmarkStart w:id="0" w:name="_GoBack"/>
      <w:bookmarkEnd w:id="0"/>
    </w:p>
    <w:sectPr w:rsidR="00410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67F5"/>
    <w:multiLevelType w:val="multilevel"/>
    <w:tmpl w:val="E1F2A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211986"/>
    <w:multiLevelType w:val="multilevel"/>
    <w:tmpl w:val="DE368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63"/>
    <w:rsid w:val="00036FCA"/>
    <w:rsid w:val="00275F21"/>
    <w:rsid w:val="00351AAC"/>
    <w:rsid w:val="003E0A63"/>
    <w:rsid w:val="004171F0"/>
    <w:rsid w:val="00597BB9"/>
    <w:rsid w:val="0077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113D"/>
  <w15:chartTrackingRefBased/>
  <w15:docId w15:val="{13638D6B-AD31-44CA-A4EA-66D138B8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ind w:left="72" w:hanging="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A63"/>
    <w:pPr>
      <w:spacing w:before="100" w:beforeAutospacing="1" w:after="100" w:afterAutospacing="1"/>
      <w:ind w:left="0"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Dilsy Ricardo</dc:creator>
  <cp:keywords/>
  <dc:description/>
  <cp:lastModifiedBy>Dilsy Ricardo</cp:lastModifiedBy>
  <cp:revision>1</cp:revision>
  <dcterms:created xsi:type="dcterms:W3CDTF">2019-09-18T02:46:00Z</dcterms:created>
  <dcterms:modified xsi:type="dcterms:W3CDTF">2019-09-18T02:48:00Z</dcterms:modified>
</cp:coreProperties>
</file>