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E007E" w14:textId="56ED643F" w:rsidR="00647CFC" w:rsidRDefault="00F126F9" w:rsidP="00647CFC">
      <w:pPr>
        <w:pStyle w:val="NormalWeb"/>
        <w:shd w:val="clear" w:color="auto" w:fill="FFFFFF"/>
        <w:spacing w:before="180" w:beforeAutospacing="0" w:after="0" w:afterAutospacing="0"/>
        <w:rPr>
          <w:rFonts w:ascii="Helvetica Neue" w:hAnsi="Helvetica Neue"/>
          <w:color w:val="2D3B45"/>
        </w:rPr>
      </w:pPr>
      <w:r>
        <w:rPr>
          <w:rFonts w:ascii="Helvetica Neue" w:hAnsi="Helvetica Neue"/>
          <w:color w:val="2D3B45"/>
        </w:rPr>
        <w:t>Peer Response 1</w:t>
      </w:r>
    </w:p>
    <w:p w14:paraId="1C108CCE" w14:textId="7143E689" w:rsidR="00647CFC" w:rsidRDefault="00647CFC" w:rsidP="00647CFC">
      <w:pPr>
        <w:pStyle w:val="NormalWeb"/>
        <w:shd w:val="clear" w:color="auto" w:fill="FFFFFF"/>
        <w:spacing w:before="180" w:beforeAutospacing="0" w:after="0" w:afterAutospacing="0"/>
        <w:rPr>
          <w:rFonts w:ascii="Helvetica Neue" w:hAnsi="Helvetica Neue"/>
          <w:color w:val="2D3B45"/>
        </w:rPr>
      </w:pPr>
      <w:r>
        <w:rPr>
          <w:rFonts w:ascii="Helvetica Neue" w:hAnsi="Helvetica Neue"/>
          <w:color w:val="2D3B45"/>
        </w:rPr>
        <w:t>Jenn</w:t>
      </w:r>
    </w:p>
    <w:p w14:paraId="3F15B085" w14:textId="77777777" w:rsidR="00647CFC" w:rsidRDefault="00647CFC" w:rsidP="00647CFC">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Classroom assessment, simply put, is a way to evaluate what a student knows. Assessments can take many forms, including formal and informal. Whether the assessment is formal or informal, it is essential that they align with state standards and the objectives set. Assessments should also be conducted regularly to guide instruction and to also provide insight on how to differentiate instruction.  It is also important to note that the purpose of assessments should be to show what students know, not what they do not. Angelo &amp; Cross (2010) state “Classroom assessment is an approach designed to help teachers find out what students are learning in the classroom and how well they are learning it.” In a sense, anyone should be able to look at an assessment and know what the students are learning. If not, the assessment is not reliable nor valid and should be redesigned so that it does reflect the current content.</w:t>
      </w:r>
    </w:p>
    <w:p w14:paraId="3E21BC5A" w14:textId="77777777" w:rsidR="00647CFC" w:rsidRDefault="00647CFC" w:rsidP="00647CFC">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xml:space="preserve">            There are a variety of assessments, some of which include: pre-assessments, formative, summative, norm-referenced, and criterion-referenced. Assessments can take the forms of checklists, rubrics, multiple choice tests, oral exams, projects, and concept maps. In a classroom that addresses varied learning preferences, a variety of assessment types will be highlighted and available for student use. Summative assessments seem to be the most popular form of analyzing student performance, however, the intent is not always clear. “The task of assessing pupils </w:t>
      </w:r>
      <w:proofErr w:type="spellStart"/>
      <w:r>
        <w:rPr>
          <w:rFonts w:ascii="Helvetica Neue" w:hAnsi="Helvetica Neue"/>
          <w:color w:val="2D3B45"/>
        </w:rPr>
        <w:t>summatively</w:t>
      </w:r>
      <w:proofErr w:type="spellEnd"/>
      <w:r>
        <w:rPr>
          <w:rFonts w:ascii="Helvetica Neue" w:hAnsi="Helvetica Neue"/>
          <w:color w:val="2D3B45"/>
        </w:rPr>
        <w:t xml:space="preserve"> for external purposes is clearly different from the task of assessing ongoing work to monitor and improve progress. Some argue that these two roles are so different that they should be kept apart. However, teachers clearly face difficult problems in reconciling their formative and summative roles, and confusion in teachers' minds between these roles can impede the improvement of practice, (Black &amp; </w:t>
      </w:r>
      <w:proofErr w:type="spellStart"/>
      <w:r>
        <w:rPr>
          <w:rFonts w:ascii="Helvetica Neue" w:hAnsi="Helvetica Neue"/>
          <w:color w:val="2D3B45"/>
        </w:rPr>
        <w:t>Wiliam</w:t>
      </w:r>
      <w:proofErr w:type="spellEnd"/>
      <w:r>
        <w:rPr>
          <w:rFonts w:ascii="Helvetica Neue" w:hAnsi="Helvetica Neue"/>
          <w:color w:val="2D3B45"/>
        </w:rPr>
        <w:t>, 2005 p.148). This highlights the importance knowing the role the assessment given is intended for.</w:t>
      </w:r>
    </w:p>
    <w:p w14:paraId="2F43A0F6" w14:textId="77777777" w:rsidR="00647CFC" w:rsidRDefault="00647CFC" w:rsidP="00647CFC">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I am an English Language Learner educator and so the assessments I utilize focus on the different components of language-speaking, listening, reading, and writing. It is also essential to know that I work with preschool aged students. The majority of assessments I use are made by myself as there are not many standards based assessments for preschool aged students. I utilize WIDA’s “Can do” statements when designing assessments which creates different tiers for student abilities. I utilize weekly checklists where I document language output and the quality of the output. I will also use a pre-assessment prior to beginning a thematic unit that gauges prior background knowledge, vocabulary, and skill readiness. The same assessment is administered upon completion of the unit to document growth.</w:t>
      </w:r>
    </w:p>
    <w:p w14:paraId="5082D628" w14:textId="77777777" w:rsidR="00647CFC" w:rsidRDefault="00647CFC" w:rsidP="00647CFC">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xml:space="preserve">            I also utilize a state created assessment designed for preschool aged ELL students called the Pre-LAS. This is used when I push into classrooms weekly and observe if and how the students are applying the skills they develop with myself in the </w:t>
      </w:r>
      <w:r>
        <w:rPr>
          <w:rFonts w:ascii="Helvetica Neue" w:hAnsi="Helvetica Neue"/>
          <w:color w:val="2D3B45"/>
        </w:rPr>
        <w:lastRenderedPageBreak/>
        <w:t>regular education classroom. This provides insight on how to develop lessons that are more aligned to each student’s specific needs. It can be challenging creating assessments that are appropriate for the age of the student’s I work with (3-5), in that acquiring a second language is influenced and seen constantly throughout the day. I am continually reflecting and researching ways preschool aged students can demonstrate what they know through reading and writing. If students can sort pictures or sequence events of a story covered in class, which is demonstrating reading. When students draw predictions, a character from a story, or attempts to label a diagram; that is demonstrating a form of writing.  A fun and interactive assessment that I have recently started using is called “Assessing skill in synthesis and creativity.” In short, this assessment is conducted by asking students to answer the questions “Who does what to whom, when, where, how, and why?” about a given topic and then to synthesize those answers into a single summary sentence, (Angelo &amp; Cross, 2010). In a sense, this is teaching the students how to chunk information and how to summarize information while developing their oral language abilities too.</w:t>
      </w:r>
    </w:p>
    <w:p w14:paraId="465E9FBC" w14:textId="77777777" w:rsidR="00647CFC" w:rsidRDefault="00647CFC" w:rsidP="00647CFC">
      <w:pPr>
        <w:pStyle w:val="NormalWeb"/>
        <w:shd w:val="clear" w:color="auto" w:fill="FFFFFF"/>
        <w:spacing w:before="180" w:beforeAutospacing="0" w:after="180" w:afterAutospacing="0"/>
        <w:jc w:val="center"/>
        <w:rPr>
          <w:rFonts w:ascii="Helvetica Neue" w:hAnsi="Helvetica Neue"/>
          <w:color w:val="2D3B45"/>
        </w:rPr>
      </w:pPr>
      <w:r>
        <w:rPr>
          <w:rFonts w:ascii="Helvetica Neue" w:hAnsi="Helvetica Neue"/>
          <w:color w:val="2D3B45"/>
        </w:rPr>
        <w:t>Reference</w:t>
      </w:r>
    </w:p>
    <w:p w14:paraId="3722DC05" w14:textId="77777777" w:rsidR="00647CFC" w:rsidRDefault="00647CFC" w:rsidP="00647CFC">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xml:space="preserve">Angelo, T. A., &amp; Cross, K. P. (2012). Classroom assessment techniques. </w:t>
      </w:r>
      <w:proofErr w:type="spellStart"/>
      <w:r>
        <w:rPr>
          <w:rFonts w:ascii="Helvetica Neue" w:hAnsi="Helvetica Neue"/>
          <w:color w:val="2D3B45"/>
        </w:rPr>
        <w:t>Jossey</w:t>
      </w:r>
      <w:proofErr w:type="spellEnd"/>
      <w:r>
        <w:rPr>
          <w:rFonts w:ascii="Helvetica Neue" w:hAnsi="Helvetica Neue"/>
          <w:color w:val="2D3B45"/>
        </w:rPr>
        <w:t>         Bass Wiley.</w:t>
      </w:r>
    </w:p>
    <w:p w14:paraId="4F5F74CC" w14:textId="77777777" w:rsidR="00647CFC" w:rsidRDefault="00647CFC" w:rsidP="00647CFC">
      <w:pPr>
        <w:pStyle w:val="NormalWeb"/>
        <w:shd w:val="clear" w:color="auto" w:fill="FFFFFF"/>
        <w:spacing w:before="180" w:beforeAutospacing="0" w:after="0" w:afterAutospacing="0"/>
        <w:rPr>
          <w:rFonts w:ascii="Helvetica Neue" w:hAnsi="Helvetica Neue"/>
          <w:color w:val="2D3B45"/>
        </w:rPr>
      </w:pPr>
      <w:r>
        <w:rPr>
          <w:rFonts w:ascii="Helvetica Neue" w:hAnsi="Helvetica Neue"/>
          <w:color w:val="2D3B45"/>
        </w:rPr>
        <w:t xml:space="preserve">Black, P., &amp; </w:t>
      </w:r>
      <w:proofErr w:type="spellStart"/>
      <w:r>
        <w:rPr>
          <w:rFonts w:ascii="Helvetica Neue" w:hAnsi="Helvetica Neue"/>
          <w:color w:val="2D3B45"/>
        </w:rPr>
        <w:t>Wiliam</w:t>
      </w:r>
      <w:proofErr w:type="spellEnd"/>
      <w:r>
        <w:rPr>
          <w:rFonts w:ascii="Helvetica Neue" w:hAnsi="Helvetica Neue"/>
          <w:color w:val="2D3B45"/>
        </w:rPr>
        <w:t>, D. (2005). Inside the black box: Raising standards through             classroom assessment. </w:t>
      </w:r>
      <w:r>
        <w:rPr>
          <w:rStyle w:val="Emphasis"/>
          <w:rFonts w:ascii="Helvetica Neue" w:hAnsi="Helvetica Neue"/>
          <w:color w:val="2D3B45"/>
        </w:rPr>
        <w:t xml:space="preserve">The Phi Delta </w:t>
      </w:r>
      <w:proofErr w:type="spellStart"/>
      <w:r>
        <w:rPr>
          <w:rStyle w:val="Emphasis"/>
          <w:rFonts w:ascii="Helvetica Neue" w:hAnsi="Helvetica Neue"/>
          <w:color w:val="2D3B45"/>
        </w:rPr>
        <w:t>Kappan</w:t>
      </w:r>
      <w:proofErr w:type="spellEnd"/>
      <w:r>
        <w:rPr>
          <w:rStyle w:val="Emphasis"/>
          <w:rFonts w:ascii="Helvetica Neue" w:hAnsi="Helvetica Neue"/>
          <w:color w:val="2D3B45"/>
        </w:rPr>
        <w:t> </w:t>
      </w:r>
      <w:r>
        <w:rPr>
          <w:rFonts w:ascii="Helvetica Neue" w:hAnsi="Helvetica Neue"/>
          <w:color w:val="2D3B45"/>
        </w:rPr>
        <w:t>80(2), p. 139-144, 146-148.</w:t>
      </w:r>
    </w:p>
    <w:p w14:paraId="0DBE8969" w14:textId="77777777" w:rsidR="003304F7" w:rsidRDefault="003304F7" w:rsidP="003304F7">
      <w:pPr>
        <w:pStyle w:val="NormalWeb"/>
        <w:shd w:val="clear" w:color="auto" w:fill="FFFFFF"/>
        <w:spacing w:before="180" w:beforeAutospacing="0" w:after="0" w:afterAutospacing="0"/>
        <w:rPr>
          <w:rFonts w:ascii="Helvetica Neue" w:hAnsi="Helvetica Neue"/>
          <w:color w:val="2D3B45"/>
        </w:rPr>
      </w:pPr>
    </w:p>
    <w:p w14:paraId="77D1FE81" w14:textId="40980144" w:rsidR="00EF4D31" w:rsidRPr="003304F7" w:rsidRDefault="00F126F9" w:rsidP="003304F7">
      <w:pPr>
        <w:pStyle w:val="NormalWeb"/>
        <w:shd w:val="clear" w:color="auto" w:fill="FFFFFF"/>
        <w:spacing w:before="180" w:beforeAutospacing="0" w:after="0" w:afterAutospacing="0"/>
        <w:rPr>
          <w:rFonts w:ascii="Helvetica Neue" w:hAnsi="Helvetica Neue"/>
          <w:color w:val="2D3B45"/>
        </w:rPr>
      </w:pPr>
      <w:r>
        <w:t xml:space="preserve">Peer Response 2 </w:t>
      </w:r>
    </w:p>
    <w:p w14:paraId="4E1D8D81" w14:textId="77777777" w:rsidR="00F126F9" w:rsidRDefault="00F126F9"/>
    <w:p w14:paraId="5ECA6467" w14:textId="108E3DA1" w:rsidR="00992B58" w:rsidRDefault="00974017">
      <w:r>
        <w:t xml:space="preserve">Jamie </w:t>
      </w:r>
      <w:r w:rsidR="007260CA">
        <w:t xml:space="preserve"> </w:t>
      </w:r>
      <w:r w:rsidR="00992B58">
        <w:t xml:space="preserve"> </w:t>
      </w:r>
    </w:p>
    <w:p w14:paraId="0F4EEBB6" w14:textId="77777777" w:rsidR="00974017" w:rsidRDefault="00974017" w:rsidP="00974017">
      <w:pPr>
        <w:pStyle w:val="NormalWeb"/>
        <w:shd w:val="clear" w:color="auto" w:fill="FFFFFF"/>
        <w:spacing w:before="180" w:beforeAutospacing="0" w:after="0" w:afterAutospacing="0"/>
        <w:rPr>
          <w:rFonts w:ascii="Helvetica Neue" w:hAnsi="Helvetica Neue"/>
          <w:color w:val="2D3B45"/>
        </w:rPr>
      </w:pPr>
      <w:r>
        <w:rPr>
          <w:rFonts w:ascii="Helvetica Neue" w:hAnsi="Helvetica Neue"/>
          <w:color w:val="2D3B45"/>
        </w:rPr>
        <w:t xml:space="preserve">Classroom assessment is the means by which we gauge student learning. It takes the form of both formative and summative work. It can be formal (test, paper, project, written response) or informal (discussion, group work, class activity). John Hatti (2007) explained that formative assessment is important to student learning because it clearly communicates to students what they can and cannot do in relation to their learning goals. It also provides teachers a greater understanding of their students’ progress (as cited in Rothman, 2018, p. 5).  Formative assessment is used to gauge student learning throughout the learning process. Teachers can use this information to inform their teaching practices in regards to content and delivery. If students are performing well on an individual component, then the class is ready to move forward; contrarily, if students are not performing well on formative assessments, then teachers can respond by </w:t>
      </w:r>
      <w:proofErr w:type="spellStart"/>
      <w:r>
        <w:rPr>
          <w:rFonts w:ascii="Helvetica Neue" w:hAnsi="Helvetica Neue"/>
          <w:color w:val="2D3B45"/>
        </w:rPr>
        <w:t>reteaching</w:t>
      </w:r>
      <w:proofErr w:type="spellEnd"/>
      <w:r>
        <w:rPr>
          <w:rFonts w:ascii="Helvetica Neue" w:hAnsi="Helvetica Neue"/>
          <w:color w:val="2D3B45"/>
        </w:rPr>
        <w:t xml:space="preserve"> or approaching the concepts differently. Summative assessments measure student’s skills after teaching has occurred. These are normally formal in nature and may be common assessments or teacher created. Summative assessments also indicate student mastery levels and identify areas of strength and need. They should be used to determine next steps. They can also be used to determine the strengths and weaknesses of a teacher’s pedagogy.</w:t>
      </w:r>
    </w:p>
    <w:p w14:paraId="61B54E7A" w14:textId="77777777" w:rsidR="00974017" w:rsidRDefault="00974017" w:rsidP="00974017">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p w14:paraId="0390825B" w14:textId="77777777" w:rsidR="00974017" w:rsidRDefault="00974017" w:rsidP="00974017">
      <w:pPr>
        <w:pStyle w:val="NormalWeb"/>
        <w:shd w:val="clear" w:color="auto" w:fill="FFFFFF"/>
        <w:spacing w:before="180" w:beforeAutospacing="0" w:after="0" w:afterAutospacing="0"/>
        <w:rPr>
          <w:rFonts w:ascii="Helvetica Neue" w:hAnsi="Helvetica Neue"/>
          <w:color w:val="2D3B45"/>
        </w:rPr>
      </w:pPr>
      <w:r>
        <w:rPr>
          <w:rFonts w:ascii="Helvetica Neue" w:hAnsi="Helvetica Neue"/>
          <w:color w:val="2D3B45"/>
        </w:rPr>
        <w:t>Classroom assessments take many forms. Formal assessments are often tests, quizzes, papers, and projects, “But teachers can also gather evidence informally, by asking students to explain what they know and how they know it. Some teachers use low technology tools like green, yellow, and red cups that students use to indicate whether they understand, have questions, or do not understand” (Rothman, 2018, p. 6). As Hattie and Timperley (2007) assert, the most important component of assessment, especially formative assessment, is feedback due to its impact on student learning. Feedback takes the form of scores, written commentary, and verbal responses. Teachers can help students to understand their own learning, emphasizing how to be more successful or celebrating successes.</w:t>
      </w:r>
    </w:p>
    <w:p w14:paraId="59E57CFA" w14:textId="77777777" w:rsidR="00974017" w:rsidRDefault="00974017" w:rsidP="00974017">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p w14:paraId="53F86B32" w14:textId="77777777" w:rsidR="00974017" w:rsidRDefault="00974017" w:rsidP="00974017">
      <w:pPr>
        <w:pStyle w:val="NormalWeb"/>
        <w:shd w:val="clear" w:color="auto" w:fill="FFFFFF"/>
        <w:spacing w:before="180" w:beforeAutospacing="0" w:after="0" w:afterAutospacing="0"/>
        <w:rPr>
          <w:rFonts w:ascii="Helvetica Neue" w:hAnsi="Helvetica Neue"/>
          <w:color w:val="2D3B45"/>
        </w:rPr>
      </w:pPr>
      <w:r>
        <w:rPr>
          <w:rFonts w:ascii="Helvetica Neue" w:hAnsi="Helvetica Neue"/>
          <w:color w:val="2D3B45"/>
        </w:rPr>
        <w:t>In designing my own classroom assessment, I utilize a backward construction model. I start by identifying the skills and standards that I need my students to master, how long I have to teach the unit, and what materials are at my disposal. From there, I determine which methods would best demonstrate student learning. For example, in a recent novel unit, I determined that the skills that we needed to assess were reading comprehension and literary analysis with a particular emphasis on figurative language and diction. We read </w:t>
      </w:r>
      <w:r>
        <w:rPr>
          <w:rFonts w:ascii="Helvetica Neue" w:hAnsi="Helvetica Neue"/>
          <w:i/>
          <w:iCs/>
          <w:color w:val="2D3B45"/>
        </w:rPr>
        <w:t>Their Eyes Were Watching God</w:t>
      </w:r>
      <w:r>
        <w:rPr>
          <w:rFonts w:ascii="Helvetica Neue" w:hAnsi="Helvetica Neue"/>
          <w:color w:val="2D3B45"/>
        </w:rPr>
        <w:t>, by Zora Neale Hurston. In designing assessments, we (my team) created a number of in-class writing assignments that mirror AP Literature tests and reading comprehension quizzes. These were used throughout the unit as formal formative assessments. In-class activities such as discussion, group work, and application activities were used as informal formative assessments. The summative assessments were a test (multiple choice, matching, and short answer) and a group analysis project with a presentation component. We determined the form of the summative assessments at the beginning of the unit. Then we created the group analysis project and formative assessments. Lastly, we created the test based on the learning that actually took place in the classroom. Novels can be analyzed in more than one way, so we wait to create the test in order to allow for flexibility during the class discussions and activities.</w:t>
      </w:r>
    </w:p>
    <w:p w14:paraId="7C3537F9" w14:textId="77777777" w:rsidR="00974017" w:rsidRDefault="00974017" w:rsidP="00974017">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p w14:paraId="20B1515B" w14:textId="77777777" w:rsidR="00974017" w:rsidRDefault="00974017" w:rsidP="00974017">
      <w:pPr>
        <w:pStyle w:val="NormalWeb"/>
        <w:shd w:val="clear" w:color="auto" w:fill="FFFFFF"/>
        <w:spacing w:before="180" w:beforeAutospacing="0" w:after="0" w:afterAutospacing="0"/>
        <w:rPr>
          <w:rFonts w:ascii="Helvetica Neue" w:hAnsi="Helvetica Neue"/>
          <w:color w:val="2D3B45"/>
        </w:rPr>
      </w:pPr>
      <w:r>
        <w:rPr>
          <w:rFonts w:ascii="Helvetica Neue" w:hAnsi="Helvetica Neue"/>
          <w:color w:val="2D3B45"/>
        </w:rPr>
        <w:t>Each time I give a classroom assessment, I reflect upon its effectiveness thereafter and note changes that need to be made. In this case, the project worked out extremely well, with students demonstrating their understanding clearly and utilizing analysis skills. The test needs some editing, especially in regards to the multiple choice selections. Some of the questions were interpreted differently than we intended, so student feedback will guide our editing efforts. We create assessments as course teams, so it is a collaborative process. This helps to meet the needs of all students and to provide a common benchmark. We share ideas and work together to create common assessments, though the formative assessments may be different. I think that the overall design process is quite effective. The assessments measure the skills that students need to learn in an appropriate manner. Though there are arguments against tests in the form of multiple choice, we write questions of different difficulty levels based on Norman Webb’s Depths of Knowledge. We also use different types of questions such as matching and short answer. I find that test writing is one of the greatest challenges, in large part because it is a challenge to write a set of questions that can be answered in a short period of time that accurately assesses students’ knowledge and skills. This is why I prefer at least two summative assessments of different forms for each unit.       </w:t>
      </w:r>
    </w:p>
    <w:p w14:paraId="4D8ADA50" w14:textId="77777777" w:rsidR="00974017" w:rsidRDefault="00974017" w:rsidP="00974017">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p w14:paraId="62E60920" w14:textId="77777777" w:rsidR="00974017" w:rsidRDefault="00974017" w:rsidP="00974017">
      <w:pPr>
        <w:pStyle w:val="NormalWeb"/>
        <w:shd w:val="clear" w:color="auto" w:fill="FFFFFF"/>
        <w:spacing w:before="180" w:beforeAutospacing="0" w:after="0" w:afterAutospacing="0"/>
        <w:jc w:val="center"/>
        <w:rPr>
          <w:rFonts w:ascii="Helvetica Neue" w:hAnsi="Helvetica Neue"/>
          <w:color w:val="2D3B45"/>
        </w:rPr>
      </w:pPr>
      <w:r>
        <w:rPr>
          <w:rFonts w:ascii="Helvetica Neue" w:hAnsi="Helvetica Neue"/>
          <w:color w:val="2D3B45"/>
        </w:rPr>
        <w:t>References</w:t>
      </w:r>
    </w:p>
    <w:p w14:paraId="2DF8F734" w14:textId="77777777" w:rsidR="00974017" w:rsidRDefault="00974017" w:rsidP="00974017">
      <w:pPr>
        <w:pStyle w:val="NormalWeb"/>
        <w:shd w:val="clear" w:color="auto" w:fill="FFFFFF"/>
        <w:spacing w:before="180" w:beforeAutospacing="0" w:after="0" w:afterAutospacing="0"/>
        <w:rPr>
          <w:rFonts w:ascii="Helvetica Neue" w:hAnsi="Helvetica Neue"/>
          <w:color w:val="2D3B45"/>
        </w:rPr>
      </w:pPr>
      <w:r>
        <w:rPr>
          <w:rFonts w:ascii="Helvetica Neue" w:hAnsi="Helvetica Neue"/>
          <w:color w:val="2D3B45"/>
        </w:rPr>
        <w:t>Hattie, J. &amp; Timperley, H. (2007). The Power of Feedback. </w:t>
      </w:r>
      <w:r>
        <w:rPr>
          <w:rStyle w:val="Emphasis"/>
          <w:rFonts w:ascii="Helvetica Neue" w:hAnsi="Helvetica Neue"/>
          <w:color w:val="2D3B45"/>
        </w:rPr>
        <w:t>Review of Educational Research, 77</w:t>
      </w:r>
      <w:r>
        <w:rPr>
          <w:rFonts w:ascii="Helvetica Neue" w:hAnsi="Helvetica Neue"/>
          <w:color w:val="2D3B45"/>
        </w:rPr>
        <w:t>(1), 81. Retrieved from http://search.ebscohost.com/login.aspx?direct=true&amp;AuthType=sso&amp;db=edsjsr&amp;AN=edsjsr.4624888&amp;site=eds-live&amp;scope=site</w:t>
      </w:r>
    </w:p>
    <w:p w14:paraId="433052EB" w14:textId="77777777" w:rsidR="00974017" w:rsidRDefault="00974017" w:rsidP="00974017">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p w14:paraId="2FE9D0B9" w14:textId="77777777" w:rsidR="00974017" w:rsidRDefault="00974017" w:rsidP="00974017">
      <w:pPr>
        <w:pStyle w:val="NormalWeb"/>
        <w:shd w:val="clear" w:color="auto" w:fill="FFFFFF"/>
        <w:spacing w:before="180" w:beforeAutospacing="0" w:after="0" w:afterAutospacing="0"/>
        <w:rPr>
          <w:rFonts w:ascii="Helvetica Neue" w:hAnsi="Helvetica Neue"/>
          <w:color w:val="2D3B45"/>
        </w:rPr>
      </w:pPr>
      <w:r>
        <w:rPr>
          <w:rFonts w:ascii="Helvetica Neue" w:hAnsi="Helvetica Neue"/>
          <w:color w:val="2D3B45"/>
        </w:rPr>
        <w:t>Rothman, R. (2018). Measuring Deeper Learning: New Directions in Formative Assessment. Students at the Center: Deeper Learning Research Series. </w:t>
      </w:r>
      <w:r>
        <w:rPr>
          <w:rStyle w:val="Emphasis"/>
          <w:rFonts w:ascii="Helvetica Neue" w:hAnsi="Helvetica Neue"/>
          <w:color w:val="2D3B45"/>
        </w:rPr>
        <w:t>Jobs for the Future</w:t>
      </w:r>
      <w:r>
        <w:rPr>
          <w:rFonts w:ascii="Helvetica Neue" w:hAnsi="Helvetica Neue"/>
          <w:color w:val="2D3B45"/>
        </w:rPr>
        <w:t>. Retrieved from http://search.ebscohost.com/login.aspx?direct=true&amp;AuthType=sso&amp;db=eric&amp;AN=ED587373&amp;site=eds-live&amp;scope=site</w:t>
      </w:r>
    </w:p>
    <w:p w14:paraId="33BBD6D5" w14:textId="114017CC" w:rsidR="003304F7" w:rsidRDefault="003304F7" w:rsidP="003304F7">
      <w:pPr>
        <w:pStyle w:val="NormalWeb"/>
        <w:shd w:val="clear" w:color="auto" w:fill="FFFFFF"/>
        <w:spacing w:before="180" w:beforeAutospacing="0" w:after="0" w:afterAutospacing="0"/>
        <w:rPr>
          <w:rFonts w:ascii="Helvetica Neue" w:hAnsi="Helvetica Neue"/>
          <w:color w:val="2D3B45"/>
        </w:rPr>
      </w:pPr>
      <w:bookmarkStart w:id="0" w:name="_GoBack"/>
      <w:bookmarkEnd w:id="0"/>
    </w:p>
    <w:p w14:paraId="01AAA6C4" w14:textId="77777777" w:rsidR="00F126F9" w:rsidRDefault="00F126F9"/>
    <w:p w14:paraId="0B93D24A" w14:textId="77777777" w:rsidR="002E2574" w:rsidRDefault="002E2574"/>
    <w:p w14:paraId="40F72465" w14:textId="77777777" w:rsidR="002E2574" w:rsidRDefault="002E2574"/>
    <w:p w14:paraId="643C036B" w14:textId="77777777" w:rsidR="002E2574" w:rsidRPr="00B67C70" w:rsidRDefault="002E2574"/>
    <w:sectPr w:rsidR="002E2574" w:rsidRPr="00B67C70" w:rsidSect="00E67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48376F"/>
    <w:multiLevelType w:val="multilevel"/>
    <w:tmpl w:val="DCC4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0A48DF"/>
    <w:multiLevelType w:val="multilevel"/>
    <w:tmpl w:val="D282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9C"/>
    <w:rsid w:val="001505C2"/>
    <w:rsid w:val="002E2574"/>
    <w:rsid w:val="00302D16"/>
    <w:rsid w:val="003304F7"/>
    <w:rsid w:val="00550D9C"/>
    <w:rsid w:val="00647CFC"/>
    <w:rsid w:val="007260CA"/>
    <w:rsid w:val="007D3606"/>
    <w:rsid w:val="00974017"/>
    <w:rsid w:val="00992B58"/>
    <w:rsid w:val="00B67C70"/>
    <w:rsid w:val="00D167DF"/>
    <w:rsid w:val="00E67DE5"/>
    <w:rsid w:val="00F12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7532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2D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50D9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0D9C"/>
    <w:rPr>
      <w:rFonts w:ascii="Times New Roman" w:hAnsi="Times New Roman" w:cs="Times New Roman"/>
      <w:b/>
      <w:bCs/>
      <w:sz w:val="36"/>
      <w:szCs w:val="36"/>
    </w:rPr>
  </w:style>
  <w:style w:type="paragraph" w:styleId="NormalWeb">
    <w:name w:val="Normal (Web)"/>
    <w:basedOn w:val="Normal"/>
    <w:uiPriority w:val="99"/>
    <w:unhideWhenUsed/>
    <w:rsid w:val="00550D9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550D9C"/>
    <w:rPr>
      <w:b/>
      <w:bCs/>
    </w:rPr>
  </w:style>
  <w:style w:type="character" w:styleId="Emphasis">
    <w:name w:val="Emphasis"/>
    <w:basedOn w:val="DefaultParagraphFont"/>
    <w:uiPriority w:val="20"/>
    <w:qFormat/>
    <w:rsid w:val="00992B58"/>
    <w:rPr>
      <w:i/>
      <w:iCs/>
    </w:rPr>
  </w:style>
  <w:style w:type="character" w:customStyle="1" w:styleId="Heading1Char">
    <w:name w:val="Heading 1 Char"/>
    <w:basedOn w:val="DefaultParagraphFont"/>
    <w:link w:val="Heading1"/>
    <w:uiPriority w:val="9"/>
    <w:rsid w:val="00302D16"/>
    <w:rPr>
      <w:rFonts w:asciiTheme="majorHAnsi" w:eastAsiaTheme="majorEastAsia" w:hAnsiTheme="majorHAnsi" w:cstheme="majorBidi"/>
      <w:color w:val="2E74B5" w:themeColor="accent1" w:themeShade="BF"/>
      <w:sz w:val="32"/>
      <w:szCs w:val="32"/>
    </w:rPr>
  </w:style>
  <w:style w:type="character" w:customStyle="1" w:styleId="new-items">
    <w:name w:val="new-items"/>
    <w:basedOn w:val="DefaultParagraphFont"/>
    <w:rsid w:val="00302D16"/>
  </w:style>
  <w:style w:type="character" w:customStyle="1" w:styleId="screenreader-only">
    <w:name w:val="screenreader-only"/>
    <w:basedOn w:val="DefaultParagraphFont"/>
    <w:rsid w:val="00302D16"/>
  </w:style>
  <w:style w:type="character" w:customStyle="1" w:styleId="total-items">
    <w:name w:val="total-items"/>
    <w:basedOn w:val="DefaultParagraphFont"/>
    <w:rsid w:val="00302D16"/>
  </w:style>
  <w:style w:type="character" w:styleId="Hyperlink">
    <w:name w:val="Hyperlink"/>
    <w:basedOn w:val="DefaultParagraphFont"/>
    <w:uiPriority w:val="99"/>
    <w:semiHidden/>
    <w:unhideWhenUsed/>
    <w:rsid w:val="007260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26965">
      <w:bodyDiv w:val="1"/>
      <w:marLeft w:val="0"/>
      <w:marRight w:val="0"/>
      <w:marTop w:val="0"/>
      <w:marBottom w:val="0"/>
      <w:divBdr>
        <w:top w:val="none" w:sz="0" w:space="0" w:color="auto"/>
        <w:left w:val="none" w:sz="0" w:space="0" w:color="auto"/>
        <w:bottom w:val="none" w:sz="0" w:space="0" w:color="auto"/>
        <w:right w:val="none" w:sz="0" w:space="0" w:color="auto"/>
      </w:divBdr>
      <w:divsChild>
        <w:div w:id="587271765">
          <w:marLeft w:val="0"/>
          <w:marRight w:val="0"/>
          <w:marTop w:val="0"/>
          <w:marBottom w:val="0"/>
          <w:divBdr>
            <w:top w:val="none" w:sz="0" w:space="0" w:color="auto"/>
            <w:left w:val="none" w:sz="0" w:space="0" w:color="auto"/>
            <w:bottom w:val="none" w:sz="0" w:space="0" w:color="auto"/>
            <w:right w:val="none" w:sz="0" w:space="0" w:color="auto"/>
          </w:divBdr>
          <w:divsChild>
            <w:div w:id="1460949060">
              <w:marLeft w:val="0"/>
              <w:marRight w:val="0"/>
              <w:marTop w:val="0"/>
              <w:marBottom w:val="0"/>
              <w:divBdr>
                <w:top w:val="none" w:sz="0" w:space="0" w:color="auto"/>
                <w:left w:val="none" w:sz="0" w:space="0" w:color="auto"/>
                <w:bottom w:val="none" w:sz="0" w:space="0" w:color="auto"/>
                <w:right w:val="none" w:sz="0" w:space="0" w:color="auto"/>
              </w:divBdr>
            </w:div>
            <w:div w:id="1515270505">
              <w:marLeft w:val="0"/>
              <w:marRight w:val="0"/>
              <w:marTop w:val="0"/>
              <w:marBottom w:val="0"/>
              <w:divBdr>
                <w:top w:val="none" w:sz="0" w:space="0" w:color="auto"/>
                <w:left w:val="none" w:sz="0" w:space="0" w:color="auto"/>
                <w:bottom w:val="none" w:sz="0" w:space="0" w:color="auto"/>
                <w:right w:val="none" w:sz="0" w:space="0" w:color="auto"/>
              </w:divBdr>
              <w:divsChild>
                <w:div w:id="186293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2330">
          <w:marLeft w:val="0"/>
          <w:marRight w:val="0"/>
          <w:marTop w:val="0"/>
          <w:marBottom w:val="0"/>
          <w:divBdr>
            <w:top w:val="none" w:sz="0" w:space="0" w:color="auto"/>
            <w:left w:val="none" w:sz="0" w:space="0" w:color="auto"/>
            <w:bottom w:val="none" w:sz="0" w:space="0" w:color="auto"/>
            <w:right w:val="none" w:sz="0" w:space="0" w:color="auto"/>
          </w:divBdr>
          <w:divsChild>
            <w:div w:id="833375145">
              <w:marLeft w:val="0"/>
              <w:marRight w:val="0"/>
              <w:marTop w:val="0"/>
              <w:marBottom w:val="0"/>
              <w:divBdr>
                <w:top w:val="none" w:sz="0" w:space="0" w:color="auto"/>
                <w:left w:val="none" w:sz="0" w:space="0" w:color="auto"/>
                <w:bottom w:val="none" w:sz="0" w:space="0" w:color="auto"/>
                <w:right w:val="none" w:sz="0" w:space="0" w:color="auto"/>
              </w:divBdr>
              <w:divsChild>
                <w:div w:id="116296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694169">
      <w:bodyDiv w:val="1"/>
      <w:marLeft w:val="0"/>
      <w:marRight w:val="0"/>
      <w:marTop w:val="0"/>
      <w:marBottom w:val="0"/>
      <w:divBdr>
        <w:top w:val="none" w:sz="0" w:space="0" w:color="auto"/>
        <w:left w:val="none" w:sz="0" w:space="0" w:color="auto"/>
        <w:bottom w:val="none" w:sz="0" w:space="0" w:color="auto"/>
        <w:right w:val="none" w:sz="0" w:space="0" w:color="auto"/>
      </w:divBdr>
    </w:div>
    <w:div w:id="443111536">
      <w:bodyDiv w:val="1"/>
      <w:marLeft w:val="0"/>
      <w:marRight w:val="0"/>
      <w:marTop w:val="0"/>
      <w:marBottom w:val="0"/>
      <w:divBdr>
        <w:top w:val="none" w:sz="0" w:space="0" w:color="auto"/>
        <w:left w:val="none" w:sz="0" w:space="0" w:color="auto"/>
        <w:bottom w:val="none" w:sz="0" w:space="0" w:color="auto"/>
        <w:right w:val="none" w:sz="0" w:space="0" w:color="auto"/>
      </w:divBdr>
    </w:div>
    <w:div w:id="564991197">
      <w:bodyDiv w:val="1"/>
      <w:marLeft w:val="0"/>
      <w:marRight w:val="0"/>
      <w:marTop w:val="0"/>
      <w:marBottom w:val="0"/>
      <w:divBdr>
        <w:top w:val="none" w:sz="0" w:space="0" w:color="auto"/>
        <w:left w:val="none" w:sz="0" w:space="0" w:color="auto"/>
        <w:bottom w:val="none" w:sz="0" w:space="0" w:color="auto"/>
        <w:right w:val="none" w:sz="0" w:space="0" w:color="auto"/>
      </w:divBdr>
    </w:div>
    <w:div w:id="584844789">
      <w:bodyDiv w:val="1"/>
      <w:marLeft w:val="0"/>
      <w:marRight w:val="0"/>
      <w:marTop w:val="0"/>
      <w:marBottom w:val="0"/>
      <w:divBdr>
        <w:top w:val="none" w:sz="0" w:space="0" w:color="auto"/>
        <w:left w:val="none" w:sz="0" w:space="0" w:color="auto"/>
        <w:bottom w:val="none" w:sz="0" w:space="0" w:color="auto"/>
        <w:right w:val="none" w:sz="0" w:space="0" w:color="auto"/>
      </w:divBdr>
    </w:div>
    <w:div w:id="959341390">
      <w:bodyDiv w:val="1"/>
      <w:marLeft w:val="0"/>
      <w:marRight w:val="0"/>
      <w:marTop w:val="0"/>
      <w:marBottom w:val="0"/>
      <w:divBdr>
        <w:top w:val="none" w:sz="0" w:space="0" w:color="auto"/>
        <w:left w:val="none" w:sz="0" w:space="0" w:color="auto"/>
        <w:bottom w:val="none" w:sz="0" w:space="0" w:color="auto"/>
        <w:right w:val="none" w:sz="0" w:space="0" w:color="auto"/>
      </w:divBdr>
    </w:div>
    <w:div w:id="1371102529">
      <w:bodyDiv w:val="1"/>
      <w:marLeft w:val="0"/>
      <w:marRight w:val="0"/>
      <w:marTop w:val="0"/>
      <w:marBottom w:val="0"/>
      <w:divBdr>
        <w:top w:val="none" w:sz="0" w:space="0" w:color="auto"/>
        <w:left w:val="none" w:sz="0" w:space="0" w:color="auto"/>
        <w:bottom w:val="none" w:sz="0" w:space="0" w:color="auto"/>
        <w:right w:val="none" w:sz="0" w:space="0" w:color="auto"/>
      </w:divBdr>
    </w:div>
    <w:div w:id="1385448257">
      <w:bodyDiv w:val="1"/>
      <w:marLeft w:val="0"/>
      <w:marRight w:val="0"/>
      <w:marTop w:val="0"/>
      <w:marBottom w:val="0"/>
      <w:divBdr>
        <w:top w:val="none" w:sz="0" w:space="0" w:color="auto"/>
        <w:left w:val="none" w:sz="0" w:space="0" w:color="auto"/>
        <w:bottom w:val="none" w:sz="0" w:space="0" w:color="auto"/>
        <w:right w:val="none" w:sz="0" w:space="0" w:color="auto"/>
      </w:divBdr>
    </w:div>
    <w:div w:id="1641034032">
      <w:bodyDiv w:val="1"/>
      <w:marLeft w:val="0"/>
      <w:marRight w:val="0"/>
      <w:marTop w:val="0"/>
      <w:marBottom w:val="0"/>
      <w:divBdr>
        <w:top w:val="none" w:sz="0" w:space="0" w:color="auto"/>
        <w:left w:val="none" w:sz="0" w:space="0" w:color="auto"/>
        <w:bottom w:val="none" w:sz="0" w:space="0" w:color="auto"/>
        <w:right w:val="none" w:sz="0" w:space="0" w:color="auto"/>
      </w:divBdr>
    </w:div>
    <w:div w:id="1647975193">
      <w:bodyDiv w:val="1"/>
      <w:marLeft w:val="0"/>
      <w:marRight w:val="0"/>
      <w:marTop w:val="0"/>
      <w:marBottom w:val="0"/>
      <w:divBdr>
        <w:top w:val="none" w:sz="0" w:space="0" w:color="auto"/>
        <w:left w:val="none" w:sz="0" w:space="0" w:color="auto"/>
        <w:bottom w:val="none" w:sz="0" w:space="0" w:color="auto"/>
        <w:right w:val="none" w:sz="0" w:space="0" w:color="auto"/>
      </w:divBdr>
    </w:div>
    <w:div w:id="1886866620">
      <w:bodyDiv w:val="1"/>
      <w:marLeft w:val="0"/>
      <w:marRight w:val="0"/>
      <w:marTop w:val="0"/>
      <w:marBottom w:val="0"/>
      <w:divBdr>
        <w:top w:val="none" w:sz="0" w:space="0" w:color="auto"/>
        <w:left w:val="none" w:sz="0" w:space="0" w:color="auto"/>
        <w:bottom w:val="none" w:sz="0" w:space="0" w:color="auto"/>
        <w:right w:val="none" w:sz="0" w:space="0" w:color="auto"/>
      </w:divBdr>
    </w:div>
    <w:div w:id="21318532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1534</Words>
  <Characters>8747</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2019-04-09T17:21:00Z</dcterms:created>
  <dcterms:modified xsi:type="dcterms:W3CDTF">2019-04-09T17:21:00Z</dcterms:modified>
</cp:coreProperties>
</file>