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C46" w:rsidRDefault="002E7C46" w:rsidP="002E7C46">
      <w:pPr>
        <w:rPr>
          <w:szCs w:val="24"/>
        </w:rPr>
      </w:pPr>
      <w:bookmarkStart w:id="0" w:name="_GoBack"/>
      <w:bookmarkEnd w:id="0"/>
      <w:r w:rsidRPr="001C38E7">
        <w:rPr>
          <w:szCs w:val="24"/>
          <w:u w:val="single"/>
        </w:rPr>
        <w:t>1</w:t>
      </w:r>
      <w:r w:rsidRPr="001C38E7">
        <w:rPr>
          <w:szCs w:val="24"/>
          <w:u w:val="single"/>
          <w:vertAlign w:val="superscript"/>
        </w:rPr>
        <w:t>st</w:t>
      </w:r>
      <w:r w:rsidRPr="001C38E7">
        <w:rPr>
          <w:szCs w:val="24"/>
          <w:u w:val="single"/>
        </w:rPr>
        <w:t xml:space="preserve"> Amendment</w:t>
      </w:r>
      <w:r w:rsidRPr="001C38E7">
        <w:rPr>
          <w:szCs w:val="24"/>
        </w:rPr>
        <w:t xml:space="preserve">:  </w:t>
      </w:r>
    </w:p>
    <w:p w:rsidR="002E7C46" w:rsidRPr="00DF0900" w:rsidRDefault="002E7C46" w:rsidP="002E7C46">
      <w:pPr>
        <w:rPr>
          <w:b/>
          <w:i/>
          <w:szCs w:val="24"/>
        </w:rPr>
      </w:pPr>
      <w:r w:rsidRPr="00DF0900">
        <w:rPr>
          <w:b/>
          <w:i/>
          <w:szCs w:val="24"/>
        </w:rPr>
        <w:t xml:space="preserve">Schenck v. U.S. </w:t>
      </w:r>
      <w:r w:rsidRPr="00DF0900">
        <w:rPr>
          <w:b/>
          <w:szCs w:val="24"/>
        </w:rPr>
        <w:t>(1918):</w:t>
      </w:r>
      <w:r w:rsidRPr="00DF0900">
        <w:rPr>
          <w:b/>
          <w:i/>
          <w:szCs w:val="24"/>
        </w:rPr>
        <w:t xml:space="preserve"> </w:t>
      </w:r>
    </w:p>
    <w:p w:rsidR="002E7C46" w:rsidRPr="002E7C46" w:rsidRDefault="002E7C46" w:rsidP="002E7C46">
      <w:pPr>
        <w:numPr>
          <w:ilvl w:val="0"/>
          <w:numId w:val="2"/>
        </w:numPr>
        <w:rPr>
          <w:i/>
          <w:sz w:val="28"/>
          <w:szCs w:val="24"/>
        </w:rPr>
      </w:pPr>
      <w:r w:rsidRPr="00DF0900">
        <w:rPr>
          <w:lang w:val="en"/>
        </w:rPr>
        <w:t xml:space="preserve">During World War I, Schenck mailed circulars to draftees. </w:t>
      </w:r>
      <w:r w:rsidRPr="002E7C46">
        <w:rPr>
          <w:lang w:val="en"/>
        </w:rPr>
        <w:t>The circulars suggested that the draft was a monstrous wrong motivated by the capitalist system. The circulars urged "Do not submit to intimidation" but advised only peaceful action such as petitioning to repeal the Conscription Act</w:t>
      </w:r>
      <w:r>
        <w:rPr>
          <w:lang w:val="en"/>
        </w:rPr>
        <w:t xml:space="preserve">. </w:t>
      </w:r>
      <w:r w:rsidRPr="002E7C46">
        <w:rPr>
          <w:lang w:val="en"/>
        </w:rPr>
        <w:t>Schenck was charged with conspiracy to violate the Espionage Act by attempting to cause insubordination in the military and to obstruct recruitment (</w:t>
      </w:r>
      <w:r>
        <w:rPr>
          <w:lang w:val="en"/>
        </w:rPr>
        <w:t>Oyez</w:t>
      </w:r>
      <w:r w:rsidRPr="002E7C46">
        <w:rPr>
          <w:lang w:val="en"/>
        </w:rPr>
        <w:t xml:space="preserve">). </w:t>
      </w:r>
    </w:p>
    <w:p w:rsidR="002E7C46" w:rsidRPr="00DF0900" w:rsidRDefault="002E7C46" w:rsidP="002E7C46">
      <w:pPr>
        <w:numPr>
          <w:ilvl w:val="0"/>
          <w:numId w:val="2"/>
        </w:numPr>
        <w:rPr>
          <w:lang w:val="en"/>
        </w:rPr>
      </w:pPr>
      <w:r w:rsidRPr="00655DD4">
        <w:rPr>
          <w:b/>
          <w:u w:val="single"/>
          <w:lang w:val="en"/>
        </w:rPr>
        <w:t>Constitutional Question</w:t>
      </w:r>
      <w:r w:rsidRPr="00AB079E">
        <w:rPr>
          <w:b/>
          <w:lang w:val="en"/>
        </w:rPr>
        <w:t>:</w:t>
      </w:r>
      <w:r>
        <w:rPr>
          <w:lang w:val="en"/>
        </w:rPr>
        <w:t xml:space="preserve"> </w:t>
      </w:r>
      <w:r w:rsidRPr="00DF0900">
        <w:rPr>
          <w:lang w:val="en"/>
        </w:rPr>
        <w:t>Are Schenck's actions (words, expression) protected by the free speech clause of the First Amendment?</w:t>
      </w:r>
    </w:p>
    <w:p w:rsidR="002E7C46" w:rsidRPr="00461F3D" w:rsidRDefault="002E7C46" w:rsidP="002E7C46">
      <w:pPr>
        <w:numPr>
          <w:ilvl w:val="0"/>
          <w:numId w:val="2"/>
        </w:numPr>
        <w:rPr>
          <w:b/>
          <w:lang w:val="en"/>
        </w:rPr>
      </w:pPr>
      <w:r w:rsidRPr="00461F3D">
        <w:rPr>
          <w:b/>
          <w:lang w:val="en"/>
        </w:rPr>
        <w:t>9-0 Decision</w:t>
      </w:r>
      <w:r w:rsidR="00461F3D" w:rsidRPr="00461F3D">
        <w:rPr>
          <w:b/>
          <w:lang w:val="en"/>
        </w:rPr>
        <w:t xml:space="preserve"> for U.S. </w:t>
      </w:r>
    </w:p>
    <w:p w:rsidR="002E7C46" w:rsidRDefault="002E7C46" w:rsidP="002E7C46">
      <w:pPr>
        <w:numPr>
          <w:ilvl w:val="0"/>
          <w:numId w:val="2"/>
        </w:numPr>
        <w:rPr>
          <w:lang w:val="en"/>
        </w:rPr>
      </w:pPr>
      <w:r>
        <w:rPr>
          <w:lang w:val="en"/>
        </w:rPr>
        <w:t>Holmes</w:t>
      </w:r>
      <w:r w:rsidR="00B22C65">
        <w:rPr>
          <w:lang w:val="en"/>
        </w:rPr>
        <w:t xml:space="preserve"> (pictured below)</w:t>
      </w:r>
      <w:r>
        <w:rPr>
          <w:lang w:val="en"/>
        </w:rPr>
        <w:t xml:space="preserve">, speaking for a unanimous Court, concluded that Schenck is not protected in this situation. The character of every act depends on the circumstances. </w:t>
      </w:r>
    </w:p>
    <w:p w:rsidR="00B22C65" w:rsidRDefault="00B22C65" w:rsidP="00B22C65">
      <w:pPr>
        <w:ind w:left="720"/>
        <w:rPr>
          <w:lang w:val="en"/>
        </w:rPr>
      </w:pPr>
      <w:r w:rsidRPr="00B22C65">
        <w:rPr>
          <w:noProof/>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2196844" cy="1403985"/>
                <wp:effectExtent l="0" t="0" r="1333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844" cy="1403985"/>
                        </a:xfrm>
                        <a:prstGeom prst="rect">
                          <a:avLst/>
                        </a:prstGeom>
                        <a:solidFill>
                          <a:srgbClr val="FFFFFF"/>
                        </a:solidFill>
                        <a:ln w="9525">
                          <a:solidFill>
                            <a:srgbClr val="000000"/>
                          </a:solidFill>
                          <a:miter lim="800000"/>
                          <a:headEnd/>
                          <a:tailEnd/>
                        </a:ln>
                      </wps:spPr>
                      <wps:txbx>
                        <w:txbxContent>
                          <w:p w:rsidR="00B22C65" w:rsidRDefault="00B22C65">
                            <w:r w:rsidRPr="00B22C65">
                              <w:rPr>
                                <w:sz w:val="18"/>
                              </w:rPr>
                              <w:t>“Justice Oliver Wendell Holmes”</w:t>
                            </w:r>
                            <w:r>
                              <w:br/>
                            </w:r>
                            <w:r w:rsidRPr="00B22C65">
                              <w:rPr>
                                <w:sz w:val="10"/>
                              </w:rPr>
                              <w:t xml:space="preserve">License: Public Domain </w:t>
                            </w:r>
                            <w:r w:rsidRPr="00B22C65">
                              <w:rPr>
                                <w:sz w:val="10"/>
                              </w:rPr>
                              <w:br/>
                              <w:t>URL: https://en.wikipedia.org/wiki/Oliver_Wendell_Holmes_Jr.#/media/File:Oliver_Wendell_Holmes,_1902.jpg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73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">
                <v:textbox style="mso-fit-shape-to-text:t">
                  <w:txbxContent>
                    <w:p w:rsidR="00B22C65" w:rsidRDefault="00B22C65">
                      <w:r w:rsidRPr="00B22C65">
                        <w:rPr>
                          <w:sz w:val="18"/>
                        </w:rPr>
                        <w:t>“Justice Oliver Wendell Holmes”</w:t>
                      </w:r>
                      <w:r>
                        <w:br/>
                      </w:r>
                      <w:r w:rsidRPr="00B22C65">
                        <w:rPr>
                          <w:sz w:val="10"/>
                        </w:rPr>
                        <w:t xml:space="preserve">License: Public Domain </w:t>
                      </w:r>
                      <w:r w:rsidRPr="00B22C65">
                        <w:rPr>
                          <w:sz w:val="10"/>
                        </w:rPr>
                        <w:br/>
                        <w:t>URL: https://en.wikipedia.org/wiki/Oliver_Wendell_Holmes_Jr.#/media/File:Oliver_Wendell_Holmes,_1902.jpg</w:t>
                      </w:r>
                    </w:p>
                  </w:txbxContent>
                </v:textbox>
              </v:shape>
            </w:pict>
          </mc:Fallback>
        </mc:AlternateContent>
      </w:r>
      <w:r>
        <w:rPr>
          <w:noProof/>
        </w:rPr>
        <w:drawing>
          <wp:inline distT="0" distB="0" distL="0" distR="0">
            <wp:extent cx="1419367" cy="1794108"/>
            <wp:effectExtent l="0" t="0" r="0" b="0"/>
            <wp:docPr id="1" name="Picture 1" descr="https://upload.wikimedia.org/wikipedia/commons/thumb/1/1c/Oliver_Wendell_Holmes%2C_1902.jpg/220px-Oliver_Wendell_Holmes%2C_1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c/Oliver_Wendell_Holmes%2C_1902.jpg/220px-Oliver_Wendell_Holmes%2C_19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519" cy="1794300"/>
                    </a:xfrm>
                    <a:prstGeom prst="rect">
                      <a:avLst/>
                    </a:prstGeom>
                    <a:noFill/>
                    <a:ln>
                      <a:noFill/>
                    </a:ln>
                  </pic:spPr>
                </pic:pic>
              </a:graphicData>
            </a:graphic>
          </wp:inline>
        </w:drawing>
      </w:r>
    </w:p>
    <w:p w:rsidR="002E7C46" w:rsidRDefault="002E7C46" w:rsidP="002E7C46">
      <w:pPr>
        <w:numPr>
          <w:ilvl w:val="0"/>
          <w:numId w:val="2"/>
        </w:numPr>
        <w:rPr>
          <w:lang w:val="en"/>
        </w:rPr>
      </w:pPr>
      <w:r w:rsidRPr="002E7C46">
        <w:rPr>
          <w:b/>
          <w:lang w:val="en"/>
        </w:rPr>
        <w:t>The Clear and Present Danger Test</w:t>
      </w:r>
      <w:r>
        <w:rPr>
          <w:lang w:val="en"/>
        </w:rPr>
        <w:t xml:space="preserve">: "The question in every case is whether the words used are used in such circumstances and are of such a nature as to create a clear and present danger that they will bring about the substantive evils that Congress has a right to prevent." </w:t>
      </w:r>
    </w:p>
    <w:p w:rsidR="002E7C46" w:rsidRPr="00DF0900" w:rsidRDefault="002E7C46" w:rsidP="002E7C46">
      <w:pPr>
        <w:numPr>
          <w:ilvl w:val="0"/>
          <w:numId w:val="2"/>
        </w:numPr>
        <w:rPr>
          <w:lang w:val="en"/>
        </w:rPr>
      </w:pPr>
      <w:r>
        <w:rPr>
          <w:lang w:val="en"/>
        </w:rPr>
        <w:t>During wartime, utterances tolerable in peacetime can be punished (Ibid).</w:t>
      </w:r>
    </w:p>
    <w:p w:rsidR="002E7C46" w:rsidRDefault="002E7C46" w:rsidP="002E7C46">
      <w:pPr>
        <w:rPr>
          <w:i/>
          <w:szCs w:val="24"/>
        </w:rPr>
      </w:pPr>
    </w:p>
    <w:p w:rsidR="002E7C46" w:rsidRPr="00DF0900" w:rsidRDefault="002E7C46" w:rsidP="002E7C46">
      <w:pPr>
        <w:rPr>
          <w:b/>
          <w:i/>
          <w:szCs w:val="24"/>
        </w:rPr>
      </w:pPr>
      <w:r w:rsidRPr="00DF0900">
        <w:rPr>
          <w:b/>
          <w:i/>
          <w:szCs w:val="24"/>
        </w:rPr>
        <w:t>Gitlow v. New York</w:t>
      </w:r>
      <w:r w:rsidRPr="00DF0900">
        <w:rPr>
          <w:b/>
          <w:szCs w:val="24"/>
        </w:rPr>
        <w:t xml:space="preserve"> (192</w:t>
      </w:r>
      <w:r w:rsidR="008B2408">
        <w:rPr>
          <w:b/>
          <w:szCs w:val="24"/>
        </w:rPr>
        <w:t>5</w:t>
      </w:r>
      <w:r w:rsidRPr="00DF0900">
        <w:rPr>
          <w:b/>
          <w:szCs w:val="24"/>
        </w:rPr>
        <w:t xml:space="preserve">): </w:t>
      </w:r>
    </w:p>
    <w:p w:rsidR="002E7C46" w:rsidRPr="002E7C46" w:rsidRDefault="002E7C46" w:rsidP="002E7C46">
      <w:pPr>
        <w:numPr>
          <w:ilvl w:val="0"/>
          <w:numId w:val="1"/>
        </w:numPr>
        <w:rPr>
          <w:szCs w:val="24"/>
        </w:rPr>
      </w:pPr>
      <w:r w:rsidRPr="00DF0900">
        <w:rPr>
          <w:szCs w:val="24"/>
          <w:lang w:val="en"/>
        </w:rPr>
        <w:t>Gitlow, a socialist, was arrested for distributing copies of a "left-wing manifesto" that called for the establishment of socialism through strikes and class action of any form</w:t>
      </w:r>
      <w:r>
        <w:rPr>
          <w:szCs w:val="24"/>
          <w:lang w:val="en"/>
        </w:rPr>
        <w:t xml:space="preserve">. </w:t>
      </w:r>
      <w:r w:rsidRPr="002E7C46">
        <w:rPr>
          <w:szCs w:val="24"/>
          <w:lang w:val="en"/>
        </w:rPr>
        <w:lastRenderedPageBreak/>
        <w:t>Gitlow was convicted under a state criminal anarchy law, which punished advocating the overthrow of the government by force</w:t>
      </w:r>
      <w:r>
        <w:rPr>
          <w:szCs w:val="24"/>
          <w:lang w:val="en"/>
        </w:rPr>
        <w:t xml:space="preserve"> (Oyez)</w:t>
      </w:r>
      <w:r w:rsidRPr="002E7C46">
        <w:rPr>
          <w:szCs w:val="24"/>
          <w:lang w:val="en"/>
        </w:rPr>
        <w:t>.</w:t>
      </w:r>
    </w:p>
    <w:p w:rsidR="002E7C46" w:rsidRPr="00DF0900" w:rsidRDefault="002E7C46" w:rsidP="002E7C46">
      <w:pPr>
        <w:numPr>
          <w:ilvl w:val="0"/>
          <w:numId w:val="1"/>
        </w:numPr>
        <w:rPr>
          <w:szCs w:val="24"/>
        </w:rPr>
      </w:pPr>
      <w:r w:rsidRPr="00655DD4">
        <w:rPr>
          <w:b/>
          <w:szCs w:val="24"/>
          <w:u w:val="single"/>
        </w:rPr>
        <w:t>Constitutional Question</w:t>
      </w:r>
      <w:r w:rsidRPr="00AB079E">
        <w:rPr>
          <w:b/>
          <w:szCs w:val="24"/>
        </w:rPr>
        <w:t>:</w:t>
      </w:r>
      <w:r w:rsidRPr="00DF0900">
        <w:rPr>
          <w:szCs w:val="24"/>
        </w:rPr>
        <w:t xml:space="preserve"> </w:t>
      </w:r>
      <w:r w:rsidRPr="00DF0900">
        <w:rPr>
          <w:szCs w:val="24"/>
          <w:lang w:val="en"/>
        </w:rPr>
        <w:t>Is the New York law punishing advocacy to overthrow the government by force an unconstitutional violation of the free speech clause of the First Amendment?</w:t>
      </w:r>
    </w:p>
    <w:p w:rsidR="002E7C46" w:rsidRPr="00DF0900" w:rsidRDefault="002E7C46" w:rsidP="002E7C46">
      <w:pPr>
        <w:numPr>
          <w:ilvl w:val="0"/>
          <w:numId w:val="1"/>
        </w:numPr>
        <w:rPr>
          <w:szCs w:val="24"/>
        </w:rPr>
      </w:pPr>
      <w:r w:rsidRPr="00DF0900">
        <w:rPr>
          <w:szCs w:val="24"/>
          <w:lang w:val="en"/>
        </w:rPr>
        <w:t>Threshold issue: Does the First Amendment apply to the states? Yes, by virtue of the liberty protected by due process that no state shall deny (14th Amendment).</w:t>
      </w:r>
    </w:p>
    <w:p w:rsidR="00461F3D" w:rsidRPr="00461F3D" w:rsidRDefault="002E7C46" w:rsidP="002E7C46">
      <w:pPr>
        <w:numPr>
          <w:ilvl w:val="0"/>
          <w:numId w:val="1"/>
        </w:numPr>
        <w:rPr>
          <w:szCs w:val="24"/>
        </w:rPr>
      </w:pPr>
      <w:r w:rsidRPr="00DF0900">
        <w:rPr>
          <w:szCs w:val="24"/>
          <w:lang w:val="en"/>
        </w:rPr>
        <w:t xml:space="preserve"> </w:t>
      </w:r>
      <w:r w:rsidR="00461F3D" w:rsidRPr="00461F3D">
        <w:rPr>
          <w:b/>
          <w:szCs w:val="24"/>
          <w:lang w:val="en"/>
        </w:rPr>
        <w:t>7-2 Decision</w:t>
      </w:r>
      <w:r w:rsidR="00461F3D">
        <w:rPr>
          <w:szCs w:val="24"/>
          <w:lang w:val="en"/>
        </w:rPr>
        <w:t xml:space="preserve"> for New York. </w:t>
      </w:r>
    </w:p>
    <w:p w:rsidR="002E7C46" w:rsidRDefault="002E7C46" w:rsidP="002E7C46">
      <w:pPr>
        <w:numPr>
          <w:ilvl w:val="0"/>
          <w:numId w:val="1"/>
        </w:numPr>
        <w:rPr>
          <w:szCs w:val="24"/>
        </w:rPr>
      </w:pPr>
      <w:r w:rsidRPr="00DF0900">
        <w:rPr>
          <w:szCs w:val="24"/>
          <w:lang w:val="en"/>
        </w:rPr>
        <w:t>On the merits, a state may forbid both speech and publication if they have a tendency to result in action dangerous to public security, even though such utterances create no clear and present danger.</w:t>
      </w:r>
      <w:r w:rsidRPr="00DF0900">
        <w:rPr>
          <w:szCs w:val="24"/>
        </w:rPr>
        <w:t xml:space="preserve"> </w:t>
      </w:r>
      <w:r w:rsidRPr="002E7C46">
        <w:rPr>
          <w:szCs w:val="24"/>
        </w:rPr>
        <w:t xml:space="preserve">Also in </w:t>
      </w:r>
      <w:r w:rsidRPr="002E7C46">
        <w:rPr>
          <w:i/>
          <w:szCs w:val="24"/>
        </w:rPr>
        <w:t>Gitlow</w:t>
      </w:r>
      <w:r>
        <w:rPr>
          <w:i/>
          <w:szCs w:val="24"/>
        </w:rPr>
        <w:t>,</w:t>
      </w:r>
      <w:r w:rsidRPr="002E7C46">
        <w:rPr>
          <w:szCs w:val="24"/>
        </w:rPr>
        <w:t xml:space="preserve"> the </w:t>
      </w:r>
      <w:r w:rsidRPr="002E7C46">
        <w:rPr>
          <w:b/>
          <w:szCs w:val="24"/>
        </w:rPr>
        <w:t>Bad Tendency Test</w:t>
      </w:r>
      <w:r w:rsidRPr="002E7C46">
        <w:rPr>
          <w:szCs w:val="24"/>
        </w:rPr>
        <w:t xml:space="preserve"> was established which granted the Court the authority to outlaw any speech having the tendency to incite crime or disturb public peace</w:t>
      </w:r>
      <w:r>
        <w:rPr>
          <w:szCs w:val="24"/>
        </w:rPr>
        <w:t xml:space="preserve"> (Ibid)</w:t>
      </w:r>
      <w:r w:rsidRPr="002E7C46">
        <w:rPr>
          <w:szCs w:val="24"/>
        </w:rPr>
        <w:t>.</w:t>
      </w:r>
      <w:r w:rsidR="00655DD4">
        <w:rPr>
          <w:szCs w:val="24"/>
        </w:rPr>
        <w:t xml:space="preserve"> </w:t>
      </w:r>
    </w:p>
    <w:p w:rsidR="00655DD4" w:rsidRPr="002E7C46" w:rsidRDefault="00655DD4" w:rsidP="002E7C46">
      <w:pPr>
        <w:numPr>
          <w:ilvl w:val="0"/>
          <w:numId w:val="1"/>
        </w:numPr>
        <w:rPr>
          <w:szCs w:val="24"/>
        </w:rPr>
      </w:pPr>
      <w:r>
        <w:rPr>
          <w:szCs w:val="24"/>
        </w:rPr>
        <w:t xml:space="preserve">The </w:t>
      </w:r>
      <w:r w:rsidRPr="00655DD4">
        <w:rPr>
          <w:b/>
          <w:szCs w:val="24"/>
        </w:rPr>
        <w:t>Bad Tendency Test</w:t>
      </w:r>
      <w:r>
        <w:rPr>
          <w:szCs w:val="24"/>
        </w:rPr>
        <w:t xml:space="preserve"> was a far more restrictive test (Harrison et al. 127). </w:t>
      </w:r>
    </w:p>
    <w:p w:rsidR="002E7C46" w:rsidRPr="00DF0900" w:rsidRDefault="002E7C46" w:rsidP="002E7C46">
      <w:pPr>
        <w:rPr>
          <w:b/>
          <w:szCs w:val="24"/>
        </w:rPr>
      </w:pPr>
      <w:r w:rsidRPr="00DF0900">
        <w:rPr>
          <w:b/>
          <w:i/>
          <w:szCs w:val="24"/>
        </w:rPr>
        <w:t xml:space="preserve">Hague v. C.I.O </w:t>
      </w:r>
      <w:r w:rsidRPr="00DF0900">
        <w:rPr>
          <w:b/>
          <w:szCs w:val="24"/>
        </w:rPr>
        <w:t>(1939)</w:t>
      </w:r>
      <w:r w:rsidRPr="00DF0900">
        <w:rPr>
          <w:b/>
          <w:i/>
          <w:szCs w:val="24"/>
        </w:rPr>
        <w:t xml:space="preserve"> </w:t>
      </w:r>
    </w:p>
    <w:p w:rsidR="002E7C46" w:rsidRPr="002E7C46" w:rsidRDefault="002E7C46" w:rsidP="002E7C46">
      <w:pPr>
        <w:numPr>
          <w:ilvl w:val="0"/>
          <w:numId w:val="4"/>
        </w:numPr>
        <w:rPr>
          <w:szCs w:val="24"/>
        </w:rPr>
      </w:pPr>
      <w:r w:rsidRPr="00DF0900">
        <w:rPr>
          <w:szCs w:val="24"/>
          <w:lang w:val="en"/>
        </w:rPr>
        <w:t xml:space="preserve">On November 29, 1937, several individuals gathered at the headquarters of the Committee for Industrial Organization (CIO) in Jersey City, New Jersey to initiate a recruitment drive and discuss the National Labor Relations Act. </w:t>
      </w:r>
      <w:r w:rsidRPr="002E7C46">
        <w:rPr>
          <w:szCs w:val="24"/>
          <w:lang w:val="en"/>
        </w:rPr>
        <w:t>Acting on the orders of Mayor Frank Hague, police seized the group's recruitment materials and refused to allow the meeting to take place. Hague argued that he was enforcing a 1930 city ordinance that forbade gatherings of groups that advocated obstruction of the government by unlawful means. Hague referred to CIO members as "communists." Arguing that the ordinance violated the First Amendment protection of freedom of assembly, the group filed suit against several city officials, including Hague</w:t>
      </w:r>
      <w:r>
        <w:rPr>
          <w:szCs w:val="24"/>
          <w:lang w:val="en"/>
        </w:rPr>
        <w:t xml:space="preserve"> (Oyez)</w:t>
      </w:r>
      <w:r w:rsidRPr="002E7C46">
        <w:rPr>
          <w:szCs w:val="24"/>
          <w:lang w:val="en"/>
        </w:rPr>
        <w:t>.</w:t>
      </w:r>
    </w:p>
    <w:p w:rsidR="002E7C46" w:rsidRPr="00DF0900" w:rsidRDefault="002E7C46" w:rsidP="002E7C46">
      <w:pPr>
        <w:numPr>
          <w:ilvl w:val="0"/>
          <w:numId w:val="3"/>
        </w:numPr>
        <w:rPr>
          <w:szCs w:val="24"/>
        </w:rPr>
      </w:pPr>
      <w:r w:rsidRPr="00655DD4">
        <w:rPr>
          <w:b/>
          <w:szCs w:val="24"/>
          <w:u w:val="single"/>
        </w:rPr>
        <w:t>Constitutional Question</w:t>
      </w:r>
      <w:r w:rsidRPr="00AB079E">
        <w:rPr>
          <w:b/>
          <w:szCs w:val="24"/>
        </w:rPr>
        <w:t>:</w:t>
      </w:r>
      <w:r>
        <w:rPr>
          <w:szCs w:val="24"/>
        </w:rPr>
        <w:t xml:space="preserve">  </w:t>
      </w:r>
      <w:r w:rsidRPr="00DF0900">
        <w:rPr>
          <w:szCs w:val="24"/>
          <w:lang w:val="en"/>
        </w:rPr>
        <w:t>Did enforcement of the 1930 Jersey City ordinance violate the CIO's right to assembly under the First Amendment?</w:t>
      </w:r>
    </w:p>
    <w:p w:rsidR="002E7C46" w:rsidRPr="00DF0900" w:rsidRDefault="00831CDB" w:rsidP="002E7C46">
      <w:pPr>
        <w:numPr>
          <w:ilvl w:val="0"/>
          <w:numId w:val="3"/>
        </w:numPr>
        <w:rPr>
          <w:szCs w:val="24"/>
        </w:rPr>
      </w:pPr>
      <w:r w:rsidRPr="00461F3D">
        <w:rPr>
          <w:b/>
          <w:szCs w:val="24"/>
          <w:lang w:val="en"/>
        </w:rPr>
        <w:t>Plurality opinion</w:t>
      </w:r>
      <w:r w:rsidR="008B2408">
        <w:rPr>
          <w:b/>
          <w:szCs w:val="24"/>
          <w:lang w:val="en"/>
        </w:rPr>
        <w:t xml:space="preserve"> for C.I.O</w:t>
      </w:r>
      <w:r>
        <w:rPr>
          <w:szCs w:val="24"/>
          <w:lang w:val="en"/>
        </w:rPr>
        <w:t xml:space="preserve">. </w:t>
      </w:r>
      <w:r w:rsidR="002E7C46">
        <w:rPr>
          <w:szCs w:val="24"/>
          <w:lang w:val="en"/>
        </w:rPr>
        <w:t xml:space="preserve">Yes. </w:t>
      </w:r>
    </w:p>
    <w:p w:rsidR="002E7C46" w:rsidRPr="00DF0900" w:rsidRDefault="002E7C46" w:rsidP="002E7C46">
      <w:pPr>
        <w:numPr>
          <w:ilvl w:val="0"/>
          <w:numId w:val="3"/>
        </w:numPr>
        <w:rPr>
          <w:szCs w:val="24"/>
        </w:rPr>
      </w:pPr>
      <w:r>
        <w:rPr>
          <w:szCs w:val="24"/>
          <w:lang w:val="en"/>
        </w:rPr>
        <w:t xml:space="preserve">This case incorporated the freedom of assembly. </w:t>
      </w:r>
    </w:p>
    <w:p w:rsidR="002E7C46" w:rsidRDefault="002E7C46" w:rsidP="002E7C46">
      <w:pPr>
        <w:rPr>
          <w:b/>
          <w:szCs w:val="24"/>
          <w:lang w:val="en"/>
        </w:rPr>
      </w:pPr>
      <w:r w:rsidRPr="00DF0900">
        <w:rPr>
          <w:b/>
          <w:i/>
          <w:szCs w:val="24"/>
          <w:lang w:val="en"/>
        </w:rPr>
        <w:t>U.S. v. Dennis</w:t>
      </w:r>
      <w:r w:rsidRPr="00DF0900">
        <w:rPr>
          <w:b/>
          <w:szCs w:val="24"/>
          <w:lang w:val="en"/>
        </w:rPr>
        <w:t xml:space="preserve"> (1951)</w:t>
      </w:r>
    </w:p>
    <w:p w:rsidR="002E7C46" w:rsidRPr="002E7C46" w:rsidRDefault="002E7C46" w:rsidP="002E7C46">
      <w:pPr>
        <w:numPr>
          <w:ilvl w:val="0"/>
          <w:numId w:val="5"/>
        </w:numPr>
        <w:rPr>
          <w:szCs w:val="24"/>
          <w:lang w:val="en"/>
        </w:rPr>
      </w:pPr>
      <w:r w:rsidRPr="00DF0900">
        <w:rPr>
          <w:szCs w:val="24"/>
          <w:lang w:val="en"/>
        </w:rPr>
        <w:t xml:space="preserve">In 1948, the leaders of the Communist Part of America were arrested and charged with violating provisions of the Smith Act. </w:t>
      </w:r>
      <w:r w:rsidRPr="002E7C46">
        <w:rPr>
          <w:szCs w:val="24"/>
          <w:lang w:val="en"/>
        </w:rPr>
        <w:t xml:space="preserve">The Act made it unlawful to knowingly conspire to </w:t>
      </w:r>
      <w:r w:rsidRPr="002E7C46">
        <w:rPr>
          <w:szCs w:val="24"/>
          <w:lang w:val="en"/>
        </w:rPr>
        <w:lastRenderedPageBreak/>
        <w:t>teach and advocate the overthrow or destruction of the United States government. Party leaders were found guilty and lower courts upheld the conviction</w:t>
      </w:r>
      <w:r>
        <w:rPr>
          <w:szCs w:val="24"/>
          <w:lang w:val="en"/>
        </w:rPr>
        <w:t xml:space="preserve"> (Oyez)</w:t>
      </w:r>
      <w:r w:rsidRPr="002E7C46">
        <w:rPr>
          <w:szCs w:val="24"/>
          <w:lang w:val="en"/>
        </w:rPr>
        <w:t>.</w:t>
      </w:r>
    </w:p>
    <w:p w:rsidR="002E7C46" w:rsidRPr="00DF0900" w:rsidRDefault="002E7C46" w:rsidP="002E7C46">
      <w:pPr>
        <w:numPr>
          <w:ilvl w:val="0"/>
          <w:numId w:val="5"/>
        </w:numPr>
        <w:rPr>
          <w:szCs w:val="24"/>
        </w:rPr>
      </w:pPr>
      <w:r w:rsidRPr="00655DD4">
        <w:rPr>
          <w:b/>
          <w:szCs w:val="24"/>
          <w:u w:val="single"/>
        </w:rPr>
        <w:t>Constitutional Question</w:t>
      </w:r>
      <w:r w:rsidRPr="00AB079E">
        <w:rPr>
          <w:b/>
          <w:szCs w:val="24"/>
        </w:rPr>
        <w:t>:</w:t>
      </w:r>
      <w:r>
        <w:rPr>
          <w:szCs w:val="24"/>
        </w:rPr>
        <w:t xml:space="preserve"> </w:t>
      </w:r>
      <w:r w:rsidRPr="00DF0900">
        <w:rPr>
          <w:szCs w:val="24"/>
          <w:lang w:val="en"/>
        </w:rPr>
        <w:t>Did the Smith Act's restrictions on speech violate the First Amendment?</w:t>
      </w:r>
    </w:p>
    <w:p w:rsidR="002E7C46" w:rsidRPr="00AB079E" w:rsidRDefault="002E7C46" w:rsidP="002E7C46">
      <w:pPr>
        <w:numPr>
          <w:ilvl w:val="0"/>
          <w:numId w:val="5"/>
        </w:numPr>
        <w:rPr>
          <w:szCs w:val="24"/>
        </w:rPr>
      </w:pPr>
      <w:r w:rsidRPr="00DF0900">
        <w:rPr>
          <w:szCs w:val="24"/>
          <w:lang w:val="en"/>
        </w:rPr>
        <w:t xml:space="preserve">In a </w:t>
      </w:r>
      <w:r w:rsidRPr="00461F3D">
        <w:rPr>
          <w:b/>
          <w:szCs w:val="24"/>
          <w:lang w:val="en"/>
        </w:rPr>
        <w:t>6-to-2 decision</w:t>
      </w:r>
      <w:r w:rsidRPr="00DF0900">
        <w:rPr>
          <w:szCs w:val="24"/>
          <w:lang w:val="en"/>
        </w:rPr>
        <w:t>, the Court upheld the convictions of the Communist Party leaders and found that the Smith Act did not "inherently" violate the First Amendment.</w:t>
      </w:r>
    </w:p>
    <w:p w:rsidR="002E7C46" w:rsidRPr="00AB079E" w:rsidRDefault="002E7C46" w:rsidP="002E7C46">
      <w:pPr>
        <w:numPr>
          <w:ilvl w:val="0"/>
          <w:numId w:val="5"/>
        </w:numPr>
        <w:rPr>
          <w:szCs w:val="24"/>
        </w:rPr>
      </w:pPr>
      <w:r w:rsidRPr="00DF0900">
        <w:rPr>
          <w:szCs w:val="24"/>
          <w:lang w:val="en"/>
        </w:rPr>
        <w:t xml:space="preserve"> In the plurality opinion, the Court held that there was a distinction between the mere teaching of communist philosophies and active advocacy of those ideas. Such advocacy created a "clear and present danger" that threatened the government. </w:t>
      </w:r>
    </w:p>
    <w:p w:rsidR="002E7C46" w:rsidRPr="00AB079E" w:rsidRDefault="002E7C46" w:rsidP="002E7C46">
      <w:pPr>
        <w:numPr>
          <w:ilvl w:val="0"/>
          <w:numId w:val="5"/>
        </w:numPr>
        <w:rPr>
          <w:szCs w:val="24"/>
        </w:rPr>
      </w:pPr>
      <w:r w:rsidRPr="00DF0900">
        <w:rPr>
          <w:szCs w:val="24"/>
          <w:lang w:val="en"/>
        </w:rPr>
        <w:t>Given the gravity of the consequences of an attempted putsch, the Court held that success or probability of success was not necessary to justify restrictions on the freedom of speech.</w:t>
      </w:r>
    </w:p>
    <w:p w:rsidR="002E7C46" w:rsidRPr="00AB079E" w:rsidRDefault="002E7C46" w:rsidP="002E7C46">
      <w:pPr>
        <w:rPr>
          <w:b/>
          <w:i/>
          <w:szCs w:val="24"/>
          <w:lang w:val="en"/>
        </w:rPr>
      </w:pPr>
      <w:r w:rsidRPr="00AB079E">
        <w:rPr>
          <w:b/>
          <w:i/>
          <w:szCs w:val="24"/>
          <w:lang w:val="en"/>
        </w:rPr>
        <w:t xml:space="preserve">Brandenburg v. Ohio (1968) </w:t>
      </w:r>
    </w:p>
    <w:p w:rsidR="002E7C46" w:rsidRPr="00AB079E" w:rsidRDefault="002E7C46" w:rsidP="002E7C46">
      <w:pPr>
        <w:numPr>
          <w:ilvl w:val="0"/>
          <w:numId w:val="6"/>
        </w:numPr>
        <w:rPr>
          <w:szCs w:val="24"/>
        </w:rPr>
      </w:pPr>
      <w:r w:rsidRPr="00AB079E">
        <w:rPr>
          <w:szCs w:val="24"/>
          <w:lang w:val="en"/>
        </w:rPr>
        <w:t xml:space="preserve">Brandenburg, a leader in the Ku Klux Klan, made a speech at a Klan rally and was later convicted under an Ohio criminal syndicalism law. </w:t>
      </w:r>
    </w:p>
    <w:p w:rsidR="002E7C46" w:rsidRPr="00AB079E" w:rsidRDefault="002E7C46" w:rsidP="002E7C46">
      <w:pPr>
        <w:numPr>
          <w:ilvl w:val="0"/>
          <w:numId w:val="6"/>
        </w:numPr>
        <w:rPr>
          <w:szCs w:val="24"/>
        </w:rPr>
      </w:pPr>
      <w:r w:rsidRPr="00AB079E">
        <w:rPr>
          <w:szCs w:val="24"/>
          <w:lang w:val="en"/>
        </w:rPr>
        <w:t>The law made illegal advocating "crime, sabotage, violence, or unlawful methods of terrorism as a means of accomplishing industrial or political reform," as well as assembling "with any society, group, or assemblage of persons formed to teach or advocate the doctrines of criminal syndicalism."</w:t>
      </w:r>
    </w:p>
    <w:p w:rsidR="002E7C46" w:rsidRPr="00AB079E" w:rsidRDefault="002E7C46" w:rsidP="002E7C46">
      <w:pPr>
        <w:numPr>
          <w:ilvl w:val="0"/>
          <w:numId w:val="6"/>
        </w:numPr>
        <w:rPr>
          <w:szCs w:val="24"/>
        </w:rPr>
      </w:pPr>
      <w:r w:rsidRPr="00655DD4">
        <w:rPr>
          <w:b/>
          <w:szCs w:val="24"/>
          <w:u w:val="single"/>
          <w:lang w:val="en"/>
        </w:rPr>
        <w:t>Constitutional Question</w:t>
      </w:r>
      <w:r w:rsidRPr="00AB079E">
        <w:rPr>
          <w:b/>
          <w:szCs w:val="24"/>
          <w:lang w:val="en"/>
        </w:rPr>
        <w:t>:</w:t>
      </w:r>
      <w:r>
        <w:rPr>
          <w:szCs w:val="24"/>
          <w:lang w:val="en"/>
        </w:rPr>
        <w:t xml:space="preserve"> </w:t>
      </w:r>
      <w:r w:rsidRPr="00AB079E">
        <w:rPr>
          <w:szCs w:val="24"/>
          <w:lang w:val="en"/>
        </w:rPr>
        <w:t>Did Ohio's criminal syndicalism law, prohibiting public speech that advocates various illegal activities, violate Brandenburg's right to free speech as protected by the First and Fourteenth Amendments?</w:t>
      </w:r>
    </w:p>
    <w:p w:rsidR="002E7C46" w:rsidRPr="00AB079E" w:rsidRDefault="002E7C46" w:rsidP="002E7C46">
      <w:pPr>
        <w:numPr>
          <w:ilvl w:val="0"/>
          <w:numId w:val="6"/>
        </w:numPr>
        <w:rPr>
          <w:szCs w:val="24"/>
        </w:rPr>
      </w:pPr>
      <w:r w:rsidRPr="00461F3D">
        <w:rPr>
          <w:b/>
          <w:szCs w:val="24"/>
          <w:lang w:val="en"/>
        </w:rPr>
        <w:t>8-0 Decision</w:t>
      </w:r>
      <w:r>
        <w:rPr>
          <w:szCs w:val="24"/>
          <w:lang w:val="en"/>
        </w:rPr>
        <w:t xml:space="preserve"> in favor of Brandenburg. </w:t>
      </w:r>
    </w:p>
    <w:p w:rsidR="002E7C46" w:rsidRPr="00655DD4" w:rsidRDefault="002E7C46" w:rsidP="00655DD4">
      <w:pPr>
        <w:numPr>
          <w:ilvl w:val="0"/>
          <w:numId w:val="6"/>
        </w:numPr>
        <w:rPr>
          <w:szCs w:val="24"/>
        </w:rPr>
      </w:pPr>
      <w:r w:rsidRPr="00AB079E">
        <w:rPr>
          <w:szCs w:val="24"/>
          <w:lang w:val="en"/>
        </w:rPr>
        <w:t xml:space="preserve">The Court used a two-pronged test to evaluate speech acts: (1) speech can be prohibited if it is "directed at inciting or producing imminent lawless action" and (2) it is "likely to incite or produce such action." </w:t>
      </w:r>
      <w:r w:rsidRPr="00655DD4">
        <w:rPr>
          <w:szCs w:val="24"/>
          <w:lang w:val="en"/>
        </w:rPr>
        <w:t>The criminal syndicalism act made illegal the advocacy and teaching of doctrines while ignoring whether or not that advocacy and teaching would actually incite imminent lawless action. The failure to make this distinction rendered the law overly broad and in violation of the Constitution</w:t>
      </w:r>
      <w:r w:rsidR="00655DD4">
        <w:rPr>
          <w:szCs w:val="24"/>
          <w:lang w:val="en"/>
        </w:rPr>
        <w:t xml:space="preserve"> (Oyez)</w:t>
      </w:r>
      <w:r w:rsidRPr="00655DD4">
        <w:rPr>
          <w:szCs w:val="24"/>
          <w:lang w:val="en"/>
        </w:rPr>
        <w:t>.</w:t>
      </w:r>
    </w:p>
    <w:p w:rsidR="00353CED" w:rsidRDefault="00353CED" w:rsidP="002E7C46">
      <w:pPr>
        <w:rPr>
          <w:b/>
          <w:szCs w:val="24"/>
        </w:rPr>
      </w:pPr>
    </w:p>
    <w:p w:rsidR="00353CED" w:rsidRDefault="00353CED" w:rsidP="002E7C46">
      <w:pPr>
        <w:rPr>
          <w:b/>
          <w:szCs w:val="24"/>
        </w:rPr>
      </w:pPr>
    </w:p>
    <w:p w:rsidR="00353CED" w:rsidRDefault="00353CED" w:rsidP="002E7C46">
      <w:pPr>
        <w:rPr>
          <w:b/>
          <w:szCs w:val="24"/>
        </w:rPr>
      </w:pPr>
    </w:p>
    <w:p w:rsidR="00655DD4" w:rsidRDefault="00655DD4" w:rsidP="002E7C46">
      <w:pPr>
        <w:rPr>
          <w:b/>
          <w:i/>
          <w:szCs w:val="24"/>
        </w:rPr>
      </w:pPr>
    </w:p>
    <w:p w:rsidR="002E7C46" w:rsidRPr="00AB079E" w:rsidRDefault="002E7C46" w:rsidP="002E7C46">
      <w:pPr>
        <w:rPr>
          <w:b/>
          <w:i/>
          <w:szCs w:val="24"/>
        </w:rPr>
      </w:pPr>
      <w:r w:rsidRPr="00AB079E">
        <w:rPr>
          <w:b/>
          <w:i/>
          <w:szCs w:val="24"/>
        </w:rPr>
        <w:t xml:space="preserve">Lemon v. Kurtzman </w:t>
      </w:r>
      <w:r w:rsidRPr="00AB079E">
        <w:rPr>
          <w:b/>
          <w:szCs w:val="24"/>
        </w:rPr>
        <w:t>(1971)</w:t>
      </w:r>
    </w:p>
    <w:p w:rsidR="002E7C46" w:rsidRPr="00655DD4" w:rsidRDefault="002E7C46" w:rsidP="00655DD4">
      <w:pPr>
        <w:numPr>
          <w:ilvl w:val="0"/>
          <w:numId w:val="7"/>
        </w:numPr>
        <w:rPr>
          <w:szCs w:val="24"/>
        </w:rPr>
      </w:pPr>
      <w:r w:rsidRPr="00AB079E">
        <w:rPr>
          <w:szCs w:val="24"/>
          <w:lang w:val="en"/>
        </w:rPr>
        <w:t xml:space="preserve">The cases involved controversies over laws in Pennsylvania and Rhode Island. In Pennsylvania, a statute provided financial support for teacher salaries, textbooks, and instructional materials for secular subjects to non-public schools. </w:t>
      </w:r>
      <w:r w:rsidRPr="00655DD4">
        <w:rPr>
          <w:szCs w:val="24"/>
          <w:lang w:val="en"/>
        </w:rPr>
        <w:t>The Rhode Island statute provided direct supplemental salary payments to teachers in non-public elementary schools. Each statute made aid available to "church-r</w:t>
      </w:r>
      <w:r w:rsidR="00655DD4">
        <w:rPr>
          <w:szCs w:val="24"/>
          <w:lang w:val="en"/>
        </w:rPr>
        <w:t>elated educational institutions</w:t>
      </w:r>
      <w:r w:rsidRPr="00655DD4">
        <w:rPr>
          <w:szCs w:val="24"/>
          <w:lang w:val="en"/>
        </w:rPr>
        <w:t>"</w:t>
      </w:r>
      <w:r w:rsidR="00655DD4">
        <w:rPr>
          <w:szCs w:val="24"/>
          <w:lang w:val="en"/>
        </w:rPr>
        <w:t xml:space="preserve"> (Oyez). </w:t>
      </w:r>
    </w:p>
    <w:p w:rsidR="002E7C46" w:rsidRPr="00AB079E" w:rsidRDefault="002E7C46" w:rsidP="002E7C46">
      <w:pPr>
        <w:numPr>
          <w:ilvl w:val="0"/>
          <w:numId w:val="7"/>
        </w:numPr>
        <w:rPr>
          <w:szCs w:val="24"/>
        </w:rPr>
      </w:pPr>
      <w:r w:rsidRPr="00655DD4">
        <w:rPr>
          <w:b/>
          <w:szCs w:val="24"/>
          <w:u w:val="single"/>
          <w:lang w:val="en"/>
        </w:rPr>
        <w:t>Constitutional Question</w:t>
      </w:r>
      <w:r w:rsidRPr="00AB079E">
        <w:rPr>
          <w:b/>
          <w:szCs w:val="24"/>
          <w:lang w:val="en"/>
        </w:rPr>
        <w:t>:</w:t>
      </w:r>
      <w:r>
        <w:rPr>
          <w:szCs w:val="24"/>
          <w:lang w:val="en"/>
        </w:rPr>
        <w:t xml:space="preserve"> </w:t>
      </w:r>
      <w:r>
        <w:rPr>
          <w:lang w:val="en"/>
        </w:rPr>
        <w:t>Did the Rhode Island and Pennsylvania statutes violate the First Amendment's Establishment Clause by making state financial aid available to "church- related educational institutions"?</w:t>
      </w:r>
    </w:p>
    <w:p w:rsidR="002E7C46" w:rsidRPr="00AB079E" w:rsidRDefault="002E7C46" w:rsidP="002E7C46">
      <w:pPr>
        <w:numPr>
          <w:ilvl w:val="0"/>
          <w:numId w:val="7"/>
        </w:numPr>
        <w:rPr>
          <w:szCs w:val="24"/>
        </w:rPr>
      </w:pPr>
      <w:r w:rsidRPr="00AB079E">
        <w:rPr>
          <w:b/>
          <w:szCs w:val="24"/>
          <w:lang w:val="en"/>
        </w:rPr>
        <w:t>8-</w:t>
      </w:r>
      <w:r w:rsidRPr="00AB079E">
        <w:rPr>
          <w:b/>
          <w:szCs w:val="24"/>
        </w:rPr>
        <w:t>0</w:t>
      </w:r>
      <w:r>
        <w:rPr>
          <w:szCs w:val="24"/>
        </w:rPr>
        <w:t xml:space="preserve"> Decision: </w:t>
      </w:r>
      <w:r>
        <w:rPr>
          <w:lang w:val="en"/>
        </w:rPr>
        <w:t xml:space="preserve">Yes. Writing for the majority, Chief Justice Burger articulated a three-part test for laws dealing with religious establishment. </w:t>
      </w:r>
    </w:p>
    <w:p w:rsidR="002E7C46" w:rsidRPr="00AB079E" w:rsidRDefault="002E7C46" w:rsidP="002E7C46">
      <w:pPr>
        <w:numPr>
          <w:ilvl w:val="1"/>
          <w:numId w:val="7"/>
        </w:numPr>
        <w:rPr>
          <w:szCs w:val="24"/>
        </w:rPr>
      </w:pPr>
      <w:r>
        <w:rPr>
          <w:lang w:val="en"/>
        </w:rPr>
        <w:t>To be constitutional, a statute must have "a secular legislative purpose,"</w:t>
      </w:r>
    </w:p>
    <w:p w:rsidR="002E7C46" w:rsidRPr="00AB079E" w:rsidRDefault="002E7C46" w:rsidP="002E7C46">
      <w:pPr>
        <w:numPr>
          <w:ilvl w:val="1"/>
          <w:numId w:val="7"/>
        </w:numPr>
        <w:rPr>
          <w:szCs w:val="24"/>
        </w:rPr>
      </w:pPr>
      <w:r>
        <w:rPr>
          <w:lang w:val="en"/>
        </w:rPr>
        <w:t xml:space="preserve"> it must have principal effects which neither advance nor inhibit religion, </w:t>
      </w:r>
    </w:p>
    <w:p w:rsidR="002E7C46" w:rsidRPr="001C38E7" w:rsidRDefault="002E7C46" w:rsidP="002E7C46">
      <w:pPr>
        <w:numPr>
          <w:ilvl w:val="1"/>
          <w:numId w:val="7"/>
        </w:numPr>
        <w:rPr>
          <w:szCs w:val="24"/>
        </w:rPr>
      </w:pPr>
      <w:r>
        <w:rPr>
          <w:lang w:val="en"/>
        </w:rPr>
        <w:t>and it must not foster "an excessive government entanglement with religion."</w:t>
      </w:r>
    </w:p>
    <w:p w:rsidR="00353CED" w:rsidRDefault="00353CED" w:rsidP="002E7C46">
      <w:pPr>
        <w:rPr>
          <w:szCs w:val="24"/>
          <w:u w:val="single"/>
        </w:rPr>
      </w:pPr>
    </w:p>
    <w:p w:rsidR="002E7C46" w:rsidRDefault="002E7C46" w:rsidP="002E7C46">
      <w:pPr>
        <w:rPr>
          <w:szCs w:val="24"/>
        </w:rPr>
      </w:pPr>
      <w:r w:rsidRPr="001C38E7">
        <w:rPr>
          <w:szCs w:val="24"/>
          <w:u w:val="single"/>
        </w:rPr>
        <w:t>2</w:t>
      </w:r>
      <w:r w:rsidRPr="001C38E7">
        <w:rPr>
          <w:szCs w:val="24"/>
          <w:u w:val="single"/>
          <w:vertAlign w:val="superscript"/>
        </w:rPr>
        <w:t>nd</w:t>
      </w:r>
      <w:r w:rsidRPr="001C38E7">
        <w:rPr>
          <w:szCs w:val="24"/>
          <w:u w:val="single"/>
        </w:rPr>
        <w:t xml:space="preserve"> Amendment</w:t>
      </w:r>
      <w:r w:rsidRPr="001C38E7">
        <w:rPr>
          <w:szCs w:val="24"/>
        </w:rPr>
        <w:t xml:space="preserve">:  </w:t>
      </w:r>
    </w:p>
    <w:p w:rsidR="002E7C46" w:rsidRPr="00724F26" w:rsidRDefault="002E7C46" w:rsidP="002E7C46">
      <w:pPr>
        <w:rPr>
          <w:b/>
          <w:szCs w:val="24"/>
        </w:rPr>
      </w:pPr>
      <w:r w:rsidRPr="00724F26">
        <w:rPr>
          <w:b/>
          <w:i/>
          <w:szCs w:val="24"/>
        </w:rPr>
        <w:t>D.C. v. Heller</w:t>
      </w:r>
      <w:r w:rsidRPr="00724F26">
        <w:rPr>
          <w:b/>
          <w:szCs w:val="24"/>
        </w:rPr>
        <w:t xml:space="preserve"> (2008) </w:t>
      </w:r>
    </w:p>
    <w:p w:rsidR="002E7C46" w:rsidRPr="00724F26" w:rsidRDefault="002E7C46" w:rsidP="002E7C46">
      <w:pPr>
        <w:numPr>
          <w:ilvl w:val="0"/>
          <w:numId w:val="8"/>
        </w:numPr>
        <w:rPr>
          <w:szCs w:val="24"/>
          <w:lang w:val="en"/>
        </w:rPr>
      </w:pPr>
      <w:r w:rsidRPr="00724F26">
        <w:rPr>
          <w:szCs w:val="24"/>
        </w:rPr>
        <w:t xml:space="preserve">D.C. passed legislation barring </w:t>
      </w:r>
      <w:r w:rsidRPr="00724F26">
        <w:rPr>
          <w:szCs w:val="24"/>
          <w:lang w:val="en"/>
        </w:rPr>
        <w:t>the registration of handguns, requiring licenses for all pistols, and mandating that all legal firearms must be kept unloaded and disassembled or trigger locked</w:t>
      </w:r>
      <w:r w:rsidR="00655DD4">
        <w:rPr>
          <w:szCs w:val="24"/>
          <w:lang w:val="en"/>
        </w:rPr>
        <w:t xml:space="preserve"> (Oyez). </w:t>
      </w:r>
    </w:p>
    <w:p w:rsidR="002E7C46" w:rsidRPr="00724F26" w:rsidRDefault="002E7C46" w:rsidP="002E7C46">
      <w:pPr>
        <w:numPr>
          <w:ilvl w:val="0"/>
          <w:numId w:val="8"/>
        </w:numPr>
        <w:rPr>
          <w:szCs w:val="24"/>
          <w:lang w:val="en"/>
        </w:rPr>
      </w:pPr>
      <w:r w:rsidRPr="00655DD4">
        <w:rPr>
          <w:b/>
          <w:szCs w:val="24"/>
          <w:u w:val="single"/>
          <w:lang w:val="en"/>
        </w:rPr>
        <w:t>Constitutional Question</w:t>
      </w:r>
      <w:r w:rsidRPr="00724F26">
        <w:rPr>
          <w:b/>
          <w:szCs w:val="24"/>
          <w:lang w:val="en"/>
        </w:rPr>
        <w:t>:</w:t>
      </w:r>
      <w:r>
        <w:rPr>
          <w:szCs w:val="24"/>
          <w:lang w:val="en"/>
        </w:rPr>
        <w:t xml:space="preserve"> </w:t>
      </w:r>
      <w:r w:rsidRPr="00724F26">
        <w:rPr>
          <w:szCs w:val="24"/>
          <w:lang w:val="en"/>
        </w:rPr>
        <w:t>Whether provisions of the D.C. Code generally barring the registration of handguns, prohibiting carrying a pistol without a license, and requiring all lawful firearms to be kept unloaded and either disassembled or trigger locked violate the Second Amendment rights of individuals who are not affiliated with any state-regulated militia, but who wish to keep handguns and other firearms for private use in their homes?</w:t>
      </w:r>
      <w:r w:rsidRPr="00724F26">
        <w:rPr>
          <w:szCs w:val="24"/>
          <w:lang w:val="en"/>
        </w:rPr>
        <w:br/>
      </w:r>
    </w:p>
    <w:p w:rsidR="002E7C46" w:rsidRPr="00724F26" w:rsidRDefault="002E7C46" w:rsidP="002E7C46">
      <w:pPr>
        <w:numPr>
          <w:ilvl w:val="0"/>
          <w:numId w:val="8"/>
        </w:numPr>
        <w:rPr>
          <w:b/>
          <w:szCs w:val="24"/>
          <w:lang w:val="en"/>
        </w:rPr>
      </w:pPr>
      <w:r w:rsidRPr="00724F26">
        <w:rPr>
          <w:b/>
          <w:szCs w:val="24"/>
          <w:lang w:val="en"/>
        </w:rPr>
        <w:lastRenderedPageBreak/>
        <w:t>5-4 decision</w:t>
      </w:r>
      <w:r>
        <w:rPr>
          <w:b/>
          <w:szCs w:val="24"/>
          <w:lang w:val="en"/>
        </w:rPr>
        <w:t xml:space="preserve">: </w:t>
      </w:r>
      <w:r w:rsidRPr="00724F26">
        <w:rPr>
          <w:szCs w:val="24"/>
          <w:lang w:val="en"/>
        </w:rPr>
        <w:t>The Court held that the Second Amendment protects an individual right to possess a firearm unconnected with service in a militia, and to use that firearm for traditionally lawful purposes, such as self- defense within the home</w:t>
      </w:r>
      <w:r w:rsidR="00655DD4">
        <w:rPr>
          <w:szCs w:val="24"/>
          <w:lang w:val="en"/>
        </w:rPr>
        <w:t xml:space="preserve"> (Ibid.)</w:t>
      </w:r>
      <w:r w:rsidRPr="00724F26">
        <w:rPr>
          <w:szCs w:val="24"/>
          <w:lang w:val="en"/>
        </w:rPr>
        <w:t>.</w:t>
      </w:r>
    </w:p>
    <w:p w:rsidR="00655DD4" w:rsidRDefault="00655DD4" w:rsidP="002E7C46">
      <w:pPr>
        <w:rPr>
          <w:b/>
          <w:i/>
          <w:szCs w:val="24"/>
        </w:rPr>
      </w:pPr>
    </w:p>
    <w:p w:rsidR="002E7C46" w:rsidRDefault="002E7C46" w:rsidP="002E7C46">
      <w:pPr>
        <w:rPr>
          <w:szCs w:val="24"/>
        </w:rPr>
      </w:pPr>
      <w:r w:rsidRPr="00724F26">
        <w:rPr>
          <w:b/>
          <w:i/>
          <w:szCs w:val="24"/>
        </w:rPr>
        <w:t>McDonald v. Chicago</w:t>
      </w:r>
      <w:r w:rsidRPr="00724F26">
        <w:rPr>
          <w:b/>
          <w:szCs w:val="24"/>
        </w:rPr>
        <w:t xml:space="preserve"> (2010)</w:t>
      </w:r>
      <w:r>
        <w:rPr>
          <w:szCs w:val="24"/>
        </w:rPr>
        <w:t xml:space="preserve"> </w:t>
      </w:r>
    </w:p>
    <w:p w:rsidR="002E7C46" w:rsidRPr="00724F26" w:rsidRDefault="002E7C46" w:rsidP="002E7C46">
      <w:pPr>
        <w:numPr>
          <w:ilvl w:val="0"/>
          <w:numId w:val="9"/>
        </w:numPr>
        <w:rPr>
          <w:szCs w:val="24"/>
          <w:lang w:val="en"/>
        </w:rPr>
      </w:pPr>
      <w:r w:rsidRPr="00724F26">
        <w:rPr>
          <w:szCs w:val="24"/>
          <w:lang w:val="en"/>
        </w:rPr>
        <w:t xml:space="preserve">Several suits were filed against Chicago and Oak Park in Illinois challenging their gun bans after the Supreme Court issued its opinion in </w:t>
      </w:r>
      <w:r w:rsidRPr="00724F26">
        <w:rPr>
          <w:i/>
          <w:iCs/>
          <w:szCs w:val="24"/>
          <w:lang w:val="en"/>
        </w:rPr>
        <w:t>District of Columbia v. Heller</w:t>
      </w:r>
      <w:r w:rsidRPr="00724F26">
        <w:rPr>
          <w:szCs w:val="24"/>
          <w:lang w:val="en"/>
        </w:rPr>
        <w:t>.</w:t>
      </w:r>
    </w:p>
    <w:p w:rsidR="002E7C46" w:rsidRDefault="002E7C46" w:rsidP="002E7C46">
      <w:pPr>
        <w:numPr>
          <w:ilvl w:val="0"/>
          <w:numId w:val="9"/>
        </w:numPr>
        <w:rPr>
          <w:szCs w:val="24"/>
          <w:lang w:val="en"/>
        </w:rPr>
      </w:pPr>
      <w:r w:rsidRPr="00724F26">
        <w:rPr>
          <w:szCs w:val="24"/>
          <w:lang w:val="en"/>
        </w:rPr>
        <w:t xml:space="preserve">Argued the decision reached in </w:t>
      </w:r>
      <w:r w:rsidRPr="00724F26">
        <w:rPr>
          <w:i/>
          <w:szCs w:val="24"/>
          <w:lang w:val="en"/>
        </w:rPr>
        <w:t xml:space="preserve">Heller </w:t>
      </w:r>
      <w:r w:rsidRPr="00724F26">
        <w:rPr>
          <w:szCs w:val="24"/>
          <w:lang w:val="en"/>
        </w:rPr>
        <w:t xml:space="preserve">should also apply to the states. </w:t>
      </w:r>
    </w:p>
    <w:p w:rsidR="002E7C46" w:rsidRPr="00724F26" w:rsidRDefault="002E7C46" w:rsidP="002E7C46">
      <w:pPr>
        <w:numPr>
          <w:ilvl w:val="0"/>
          <w:numId w:val="9"/>
        </w:numPr>
        <w:rPr>
          <w:b/>
          <w:szCs w:val="24"/>
          <w:lang w:val="en"/>
        </w:rPr>
      </w:pPr>
      <w:r w:rsidRPr="00655DD4">
        <w:rPr>
          <w:b/>
          <w:szCs w:val="24"/>
          <w:u w:val="single"/>
          <w:lang w:val="en"/>
        </w:rPr>
        <w:t>Constitutional Question</w:t>
      </w:r>
      <w:r w:rsidRPr="00724F26">
        <w:rPr>
          <w:b/>
          <w:szCs w:val="24"/>
          <w:lang w:val="en"/>
        </w:rPr>
        <w:t xml:space="preserve">: </w:t>
      </w:r>
      <w:r w:rsidRPr="00724F26">
        <w:rPr>
          <w:szCs w:val="24"/>
          <w:lang w:val="en"/>
        </w:rPr>
        <w:t>Does the Second Amendment apply to the states because it is incorporated by the Fourteenth Amendment's Privileges and Immunities or Due Process clauses and thereby made applicable to the states?</w:t>
      </w:r>
    </w:p>
    <w:p w:rsidR="00353CED" w:rsidRPr="008B2408" w:rsidRDefault="002E7C46" w:rsidP="002E7C46">
      <w:pPr>
        <w:numPr>
          <w:ilvl w:val="0"/>
          <w:numId w:val="9"/>
        </w:numPr>
        <w:rPr>
          <w:b/>
          <w:szCs w:val="24"/>
          <w:lang w:val="en"/>
        </w:rPr>
      </w:pPr>
      <w:r>
        <w:rPr>
          <w:b/>
          <w:szCs w:val="24"/>
          <w:lang w:val="en"/>
        </w:rPr>
        <w:t xml:space="preserve">5-4 decision: </w:t>
      </w:r>
      <w:r>
        <w:rPr>
          <w:lang w:val="en"/>
        </w:rPr>
        <w:t xml:space="preserve">the Court reasoned that rights that are "fundamental to the Nation's scheme of ordered liberty" or that are "deeply rooted in this Nation's history and tradition" are appropriately applied to the states through the Fourteenth Amendment. The Court recognized in </w:t>
      </w:r>
      <w:r>
        <w:rPr>
          <w:rStyle w:val="Emphasis"/>
          <w:lang w:val="en"/>
        </w:rPr>
        <w:t>Heller</w:t>
      </w:r>
      <w:r>
        <w:rPr>
          <w:lang w:val="en"/>
        </w:rPr>
        <w:t xml:space="preserve"> that the right to self-defense was one such "fundamental" and "deeply rooted" right</w:t>
      </w:r>
      <w:r w:rsidR="00655DD4">
        <w:rPr>
          <w:lang w:val="en"/>
        </w:rPr>
        <w:t xml:space="preserve"> (Oyez)</w:t>
      </w:r>
      <w:r>
        <w:rPr>
          <w:lang w:val="en"/>
        </w:rPr>
        <w:t>.</w:t>
      </w:r>
    </w:p>
    <w:p w:rsidR="002E7C46" w:rsidRDefault="002E7C46" w:rsidP="002E7C46">
      <w:pPr>
        <w:rPr>
          <w:szCs w:val="24"/>
        </w:rPr>
      </w:pPr>
      <w:r w:rsidRPr="001C38E7">
        <w:rPr>
          <w:szCs w:val="24"/>
          <w:u w:val="single"/>
        </w:rPr>
        <w:t>4</w:t>
      </w:r>
      <w:proofErr w:type="gramStart"/>
      <w:r w:rsidRPr="001C38E7">
        <w:rPr>
          <w:szCs w:val="24"/>
          <w:u w:val="single"/>
          <w:vertAlign w:val="superscript"/>
        </w:rPr>
        <w:t>th</w:t>
      </w:r>
      <w:r w:rsidRPr="001C38E7">
        <w:rPr>
          <w:szCs w:val="24"/>
          <w:u w:val="single"/>
        </w:rPr>
        <w:t xml:space="preserve">  Amendment</w:t>
      </w:r>
      <w:proofErr w:type="gramEnd"/>
    </w:p>
    <w:p w:rsidR="002E7C46" w:rsidRPr="00730C14" w:rsidRDefault="002E7C46" w:rsidP="002E7C46">
      <w:pPr>
        <w:rPr>
          <w:b/>
          <w:szCs w:val="24"/>
        </w:rPr>
      </w:pPr>
      <w:r w:rsidRPr="00730C14">
        <w:rPr>
          <w:b/>
          <w:i/>
          <w:szCs w:val="24"/>
        </w:rPr>
        <w:t>Mapp v. Ohio</w:t>
      </w:r>
      <w:r w:rsidRPr="00730C14">
        <w:rPr>
          <w:b/>
          <w:szCs w:val="24"/>
        </w:rPr>
        <w:t xml:space="preserve"> (1961) </w:t>
      </w:r>
    </w:p>
    <w:p w:rsidR="002E7C46" w:rsidRPr="00730C14" w:rsidRDefault="002E7C46" w:rsidP="002E7C46">
      <w:pPr>
        <w:numPr>
          <w:ilvl w:val="0"/>
          <w:numId w:val="10"/>
        </w:numPr>
        <w:rPr>
          <w:szCs w:val="24"/>
        </w:rPr>
      </w:pPr>
      <w:proofErr w:type="spellStart"/>
      <w:r w:rsidRPr="00730C14">
        <w:rPr>
          <w:szCs w:val="24"/>
          <w:lang w:val="en"/>
        </w:rPr>
        <w:t>Dollree</w:t>
      </w:r>
      <w:proofErr w:type="spellEnd"/>
      <w:r w:rsidRPr="00730C14">
        <w:rPr>
          <w:szCs w:val="24"/>
          <w:lang w:val="en"/>
        </w:rPr>
        <w:t xml:space="preserve"> Mapp was convicted of possessing obscene materials after an admittedly illegal police search of her home for a fugitive. She appealed her conviction on the basis of freedom of expression</w:t>
      </w:r>
      <w:r w:rsidR="00655DD4">
        <w:rPr>
          <w:szCs w:val="24"/>
          <w:lang w:val="en"/>
        </w:rPr>
        <w:t xml:space="preserve"> (Oyez)</w:t>
      </w:r>
      <w:r w:rsidRPr="00730C14">
        <w:rPr>
          <w:szCs w:val="24"/>
          <w:lang w:val="en"/>
        </w:rPr>
        <w:t>.</w:t>
      </w:r>
    </w:p>
    <w:p w:rsidR="002E7C46" w:rsidRPr="00730C14" w:rsidRDefault="002E7C46" w:rsidP="002E7C46">
      <w:pPr>
        <w:numPr>
          <w:ilvl w:val="0"/>
          <w:numId w:val="10"/>
        </w:numPr>
        <w:rPr>
          <w:szCs w:val="24"/>
        </w:rPr>
      </w:pPr>
      <w:r w:rsidRPr="00655DD4">
        <w:rPr>
          <w:b/>
          <w:szCs w:val="24"/>
          <w:u w:val="single"/>
          <w:lang w:val="en"/>
        </w:rPr>
        <w:t>Constitutional Question</w:t>
      </w:r>
      <w:r w:rsidRPr="00730C14">
        <w:rPr>
          <w:b/>
          <w:szCs w:val="24"/>
          <w:lang w:val="en"/>
        </w:rPr>
        <w:t>:</w:t>
      </w:r>
      <w:r>
        <w:rPr>
          <w:szCs w:val="24"/>
          <w:lang w:val="en"/>
        </w:rPr>
        <w:t xml:space="preserve"> </w:t>
      </w:r>
      <w:r w:rsidRPr="00730C14">
        <w:rPr>
          <w:szCs w:val="24"/>
          <w:lang w:val="en"/>
        </w:rPr>
        <w:t>Were the confiscated materials protected by the First Amendment? (May evidence obtained through a search in violation of the Fourth Amendment be admitted in a state criminal proceeding?)</w:t>
      </w:r>
    </w:p>
    <w:p w:rsidR="002E7C46" w:rsidRPr="00730C14" w:rsidRDefault="002E7C46" w:rsidP="002E7C46">
      <w:pPr>
        <w:numPr>
          <w:ilvl w:val="0"/>
          <w:numId w:val="10"/>
        </w:numPr>
        <w:rPr>
          <w:szCs w:val="24"/>
        </w:rPr>
      </w:pPr>
      <w:r>
        <w:rPr>
          <w:b/>
          <w:szCs w:val="24"/>
          <w:lang w:val="en"/>
        </w:rPr>
        <w:t>6</w:t>
      </w:r>
      <w:r w:rsidRPr="00730C14">
        <w:rPr>
          <w:b/>
          <w:szCs w:val="24"/>
          <w:lang w:val="en"/>
        </w:rPr>
        <w:t>-</w:t>
      </w:r>
      <w:r w:rsidRPr="00730C14">
        <w:rPr>
          <w:b/>
          <w:szCs w:val="24"/>
        </w:rPr>
        <w:t>3 decision</w:t>
      </w:r>
      <w:r>
        <w:rPr>
          <w:szCs w:val="24"/>
        </w:rPr>
        <w:t xml:space="preserve">: </w:t>
      </w:r>
      <w:r w:rsidRPr="00730C14">
        <w:rPr>
          <w:szCs w:val="24"/>
          <w:lang w:val="en"/>
        </w:rPr>
        <w:t xml:space="preserve">The Court brushed aside the First Amendment issue and declared that "all evidence obtained by searches and seizures in violation of the Constitution is, by [the Fourth Amendment], inadmissible in a state court." </w:t>
      </w:r>
    </w:p>
    <w:p w:rsidR="002E7C46" w:rsidRPr="00730C14" w:rsidRDefault="002E7C46" w:rsidP="002E7C46">
      <w:pPr>
        <w:numPr>
          <w:ilvl w:val="0"/>
          <w:numId w:val="10"/>
        </w:numPr>
        <w:rPr>
          <w:szCs w:val="24"/>
        </w:rPr>
      </w:pPr>
      <w:r w:rsidRPr="00730C14">
        <w:rPr>
          <w:szCs w:val="24"/>
          <w:lang w:val="en"/>
        </w:rPr>
        <w:t xml:space="preserve">Mapp had been convicted on the basis of illegally obtained evidence. </w:t>
      </w:r>
    </w:p>
    <w:p w:rsidR="002E7C46" w:rsidRPr="00730C14" w:rsidRDefault="008B2408" w:rsidP="002E7C46">
      <w:pPr>
        <w:numPr>
          <w:ilvl w:val="0"/>
          <w:numId w:val="10"/>
        </w:numPr>
        <w:rPr>
          <w:szCs w:val="24"/>
        </w:rPr>
      </w:pPr>
      <w:r>
        <w:rPr>
          <w:szCs w:val="24"/>
          <w:lang w:val="en"/>
        </w:rPr>
        <w:t>This was an historic–and controversial—</w:t>
      </w:r>
      <w:r w:rsidR="002E7C46" w:rsidRPr="00730C14">
        <w:rPr>
          <w:szCs w:val="24"/>
          <w:lang w:val="en"/>
        </w:rPr>
        <w:t xml:space="preserve">decision. </w:t>
      </w:r>
    </w:p>
    <w:p w:rsidR="002E7C46" w:rsidRPr="00730C14" w:rsidRDefault="002E7C46" w:rsidP="002E7C46">
      <w:pPr>
        <w:numPr>
          <w:ilvl w:val="0"/>
          <w:numId w:val="10"/>
        </w:numPr>
        <w:rPr>
          <w:szCs w:val="24"/>
        </w:rPr>
      </w:pPr>
      <w:r w:rsidRPr="00730C14">
        <w:rPr>
          <w:szCs w:val="24"/>
          <w:lang w:val="en"/>
        </w:rPr>
        <w:lastRenderedPageBreak/>
        <w:t xml:space="preserve">It placed the requirement of excluding illegally obtained evidence from court at all levels of the government. </w:t>
      </w:r>
    </w:p>
    <w:p w:rsidR="002E7C46" w:rsidRPr="001C38E7" w:rsidRDefault="002E7C46" w:rsidP="002E7C46">
      <w:pPr>
        <w:numPr>
          <w:ilvl w:val="0"/>
          <w:numId w:val="10"/>
        </w:numPr>
        <w:rPr>
          <w:szCs w:val="24"/>
        </w:rPr>
      </w:pPr>
      <w:r w:rsidRPr="00730C14">
        <w:rPr>
          <w:szCs w:val="24"/>
          <w:lang w:val="en"/>
        </w:rPr>
        <w:t xml:space="preserve">The decision launched the Court on a troubled course of determining how and when to apply the </w:t>
      </w:r>
      <w:r w:rsidR="00655DD4">
        <w:rPr>
          <w:b/>
          <w:szCs w:val="24"/>
          <w:lang w:val="en"/>
        </w:rPr>
        <w:t>exclusionary rule (</w:t>
      </w:r>
      <w:r w:rsidR="00655DD4" w:rsidRPr="00655DD4">
        <w:rPr>
          <w:szCs w:val="24"/>
          <w:lang w:val="en"/>
        </w:rPr>
        <w:t>Harrison et al. 141</w:t>
      </w:r>
      <w:r w:rsidR="00655DD4">
        <w:rPr>
          <w:b/>
          <w:szCs w:val="24"/>
          <w:lang w:val="en"/>
        </w:rPr>
        <w:t xml:space="preserve">). </w:t>
      </w:r>
    </w:p>
    <w:p w:rsidR="002E7C46" w:rsidRDefault="002E7C46" w:rsidP="002E7C46">
      <w:pPr>
        <w:rPr>
          <w:szCs w:val="24"/>
        </w:rPr>
      </w:pPr>
      <w:r w:rsidRPr="001C38E7">
        <w:rPr>
          <w:szCs w:val="24"/>
          <w:u w:val="single"/>
        </w:rPr>
        <w:t>6</w:t>
      </w:r>
      <w:r w:rsidRPr="001C38E7">
        <w:rPr>
          <w:szCs w:val="24"/>
          <w:u w:val="single"/>
          <w:vertAlign w:val="superscript"/>
        </w:rPr>
        <w:t>th</w:t>
      </w:r>
      <w:r w:rsidRPr="001C38E7">
        <w:rPr>
          <w:szCs w:val="24"/>
          <w:u w:val="single"/>
        </w:rPr>
        <w:t xml:space="preserve"> Amendment</w:t>
      </w:r>
      <w:r w:rsidRPr="001C38E7">
        <w:rPr>
          <w:szCs w:val="24"/>
        </w:rPr>
        <w:t xml:space="preserve">: </w:t>
      </w:r>
    </w:p>
    <w:p w:rsidR="002E7C46" w:rsidRDefault="002E7C46" w:rsidP="002E7C46">
      <w:pPr>
        <w:rPr>
          <w:szCs w:val="24"/>
        </w:rPr>
      </w:pPr>
      <w:r w:rsidRPr="00542418">
        <w:rPr>
          <w:b/>
          <w:i/>
          <w:szCs w:val="24"/>
        </w:rPr>
        <w:t>Gideon v. Wainwright</w:t>
      </w:r>
      <w:r>
        <w:rPr>
          <w:i/>
          <w:szCs w:val="24"/>
        </w:rPr>
        <w:t xml:space="preserve"> </w:t>
      </w:r>
      <w:r w:rsidRPr="00542418">
        <w:rPr>
          <w:szCs w:val="24"/>
        </w:rPr>
        <w:t>(1963)</w:t>
      </w:r>
    </w:p>
    <w:p w:rsidR="002E7C46" w:rsidRPr="00655DD4" w:rsidRDefault="002E7C46" w:rsidP="00655DD4">
      <w:pPr>
        <w:numPr>
          <w:ilvl w:val="0"/>
          <w:numId w:val="12"/>
        </w:numPr>
        <w:rPr>
          <w:szCs w:val="24"/>
        </w:rPr>
      </w:pPr>
      <w:r w:rsidRPr="00542418">
        <w:rPr>
          <w:szCs w:val="24"/>
          <w:lang w:val="en"/>
        </w:rPr>
        <w:t xml:space="preserve">Clarence Earl Gideon was charged in Florida state court with a felony: having broken into and entered a poolroom with the intent to commit a misdemeanor offense. </w:t>
      </w:r>
      <w:r w:rsidRPr="00655DD4">
        <w:rPr>
          <w:szCs w:val="24"/>
          <w:lang w:val="en"/>
        </w:rPr>
        <w:t>When he appeared in court without a lawyer, Gideon requested that the court appoint one for him. According to Florida state law, however, an attorney may only be appointed to an indigent defendant in capital cases, so the trial court did not appoint one. Gideon represented himself in trial. He was found guilty and sentenced to five years in prison</w:t>
      </w:r>
      <w:r w:rsidR="00655DD4">
        <w:rPr>
          <w:szCs w:val="24"/>
          <w:lang w:val="en"/>
        </w:rPr>
        <w:t xml:space="preserve"> (Oyez). </w:t>
      </w:r>
    </w:p>
    <w:p w:rsidR="00B22C65" w:rsidRDefault="002E7C46" w:rsidP="00B22C65">
      <w:pPr>
        <w:numPr>
          <w:ilvl w:val="0"/>
          <w:numId w:val="12"/>
        </w:numPr>
        <w:rPr>
          <w:szCs w:val="24"/>
        </w:rPr>
      </w:pPr>
      <w:r w:rsidRPr="00542418">
        <w:rPr>
          <w:b/>
          <w:szCs w:val="24"/>
          <w:lang w:val="en"/>
        </w:rPr>
        <w:t>Constitutional question:</w:t>
      </w:r>
      <w:r>
        <w:rPr>
          <w:szCs w:val="24"/>
          <w:lang w:val="en"/>
        </w:rPr>
        <w:t xml:space="preserve"> </w:t>
      </w:r>
      <w:r w:rsidRPr="00542418">
        <w:rPr>
          <w:szCs w:val="24"/>
          <w:lang w:val="en"/>
        </w:rPr>
        <w:t>Does the Sixth Amendment's right to counsel in criminal cases extend to felony defendants in state courts?</w:t>
      </w:r>
      <w:r w:rsidR="00353CED" w:rsidRPr="00353CED">
        <w:rPr>
          <w:szCs w:val="24"/>
        </w:rPr>
        <w:t xml:space="preserve"> </w:t>
      </w:r>
    </w:p>
    <w:p w:rsidR="002E7C46" w:rsidRPr="00B22C65" w:rsidRDefault="00B22C65" w:rsidP="00B22C65">
      <w:pPr>
        <w:numPr>
          <w:ilvl w:val="0"/>
          <w:numId w:val="12"/>
        </w:numPr>
        <w:rPr>
          <w:szCs w:val="24"/>
        </w:rPr>
      </w:pPr>
      <w:r w:rsidRPr="00B22C65">
        <w:rPr>
          <w:b/>
          <w:noProof/>
          <w:szCs w:val="24"/>
        </w:rPr>
        <mc:AlternateContent>
          <mc:Choice Requires="wps">
            <w:drawing>
              <wp:anchor distT="0" distB="0" distL="114300" distR="114300" simplePos="0" relativeHeight="251659264" behindDoc="0" locked="0" layoutInCell="1" allowOverlap="1" wp14:anchorId="59265701" wp14:editId="2EE4AB77">
                <wp:simplePos x="0" y="0"/>
                <wp:positionH relativeFrom="column">
                  <wp:posOffset>5267960</wp:posOffset>
                </wp:positionH>
                <wp:positionV relativeFrom="paragraph">
                  <wp:posOffset>902799</wp:posOffset>
                </wp:positionV>
                <wp:extent cx="1269242" cy="1037229"/>
                <wp:effectExtent l="0" t="0" r="26670"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242" cy="1037229"/>
                        </a:xfrm>
                        <a:prstGeom prst="rect">
                          <a:avLst/>
                        </a:prstGeom>
                        <a:solidFill>
                          <a:srgbClr val="FFFFFF"/>
                        </a:solidFill>
                        <a:ln w="9525">
                          <a:solidFill>
                            <a:srgbClr val="000000"/>
                          </a:solidFill>
                          <a:miter lim="800000"/>
                          <a:headEnd/>
                          <a:tailEnd/>
                        </a:ln>
                      </wps:spPr>
                      <wps:txbx>
                        <w:txbxContent>
                          <w:p w:rsidR="00B22C65" w:rsidRPr="00B22C65" w:rsidRDefault="00B22C65">
                            <w:pPr>
                              <w:rPr>
                                <w:sz w:val="18"/>
                                <w:szCs w:val="18"/>
                              </w:rPr>
                            </w:pPr>
                            <w:r>
                              <w:rPr>
                                <w:sz w:val="18"/>
                                <w:szCs w:val="18"/>
                              </w:rPr>
                              <w:t>“</w:t>
                            </w:r>
                            <w:proofErr w:type="gramStart"/>
                            <w:r w:rsidRPr="00B22C65">
                              <w:rPr>
                                <w:sz w:val="18"/>
                                <w:szCs w:val="18"/>
                              </w:rPr>
                              <w:t xml:space="preserve">Clarence </w:t>
                            </w:r>
                            <w:r>
                              <w:rPr>
                                <w:sz w:val="18"/>
                                <w:szCs w:val="18"/>
                              </w:rPr>
                              <w:t xml:space="preserve"> Earl</w:t>
                            </w:r>
                            <w:proofErr w:type="gramEnd"/>
                            <w:r>
                              <w:rPr>
                                <w:sz w:val="18"/>
                                <w:szCs w:val="18"/>
                              </w:rPr>
                              <w:t xml:space="preserve"> </w:t>
                            </w:r>
                            <w:r w:rsidRPr="00B22C65">
                              <w:rPr>
                                <w:sz w:val="18"/>
                                <w:szCs w:val="18"/>
                              </w:rPr>
                              <w:t>Gideon</w:t>
                            </w:r>
                            <w:r>
                              <w:rPr>
                                <w:sz w:val="18"/>
                                <w:szCs w:val="18"/>
                              </w:rPr>
                              <w:t>”</w:t>
                            </w:r>
                            <w:r w:rsidRPr="00B22C65">
                              <w:rPr>
                                <w:sz w:val="18"/>
                                <w:szCs w:val="18"/>
                              </w:rPr>
                              <w:br/>
                            </w:r>
                            <w:r w:rsidRPr="00B22C65">
                              <w:rPr>
                                <w:sz w:val="12"/>
                                <w:szCs w:val="18"/>
                              </w:rPr>
                              <w:t xml:space="preserve">License: Public Domain. </w:t>
                            </w:r>
                            <w:r w:rsidRPr="00B22C65">
                              <w:rPr>
                                <w:sz w:val="12"/>
                                <w:szCs w:val="18"/>
                              </w:rPr>
                              <w:br/>
                              <w:t>URL: https://simple.wikipedia.org/wiki/Gideon_v._Wainwright#/media/File:Clarence_Earl_Gideon.jpg</w:t>
                            </w:r>
                            <w:r w:rsidRPr="00B22C65">
                              <w:rPr>
                                <w:sz w:val="18"/>
                              </w:rPr>
                              <w:t xml:space="preserve"> </w:t>
                            </w:r>
                            <w:r w:rsidRPr="00B22C65">
                              <w:rPr>
                                <w:sz w:val="10"/>
                                <w:szCs w:val="18"/>
                              </w:rPr>
                              <w:t>https://simple.wikipedia.org/wiki/Gideon_v._Wainwright#/media/File</w:t>
                            </w:r>
                            <w:r w:rsidRPr="00B22C65">
                              <w:rPr>
                                <w:sz w:val="18"/>
                                <w:szCs w:val="18"/>
                              </w:rPr>
                              <w:t>:</w:t>
                            </w:r>
                            <w:r w:rsidRPr="00B22C65">
                              <w:rPr>
                                <w:sz w:val="10"/>
                                <w:szCs w:val="18"/>
                              </w:rPr>
                              <w:t>Clarence_Earl_Gideon.jpghttps://simple.wikipedia</w:t>
                            </w:r>
                            <w:r w:rsidRPr="00B22C65">
                              <w:rPr>
                                <w:sz w:val="18"/>
                                <w:szCs w:val="18"/>
                              </w:rPr>
                              <w:t>.org/</w:t>
                            </w:r>
                            <w:r w:rsidRPr="00B22C65">
                              <w:rPr>
                                <w:sz w:val="10"/>
                                <w:szCs w:val="18"/>
                              </w:rPr>
                              <w:t>wiki/Gideon_v._Wainwright#/media/File:Clarence_Earl_Gideon.jpg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65701" id="_x0000_s1027" type="#_x0000_t202" style="position:absolute;left:0;text-align:left;margin-left:414.8pt;margin-top:71.1pt;width:99.95pt;height: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6F6Jw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">
                <v:textbox>
                  <w:txbxContent>
                    <w:p w:rsidR="00B22C65" w:rsidRPr="00B22C65" w:rsidRDefault="00B22C65">
                      <w:pPr>
                        <w:rPr>
                          <w:sz w:val="18"/>
                          <w:szCs w:val="18"/>
                        </w:rPr>
                      </w:pPr>
                      <w:r>
                        <w:rPr>
                          <w:sz w:val="18"/>
                          <w:szCs w:val="18"/>
                        </w:rPr>
                        <w:t>“</w:t>
                      </w:r>
                      <w:proofErr w:type="gramStart"/>
                      <w:r w:rsidRPr="00B22C65">
                        <w:rPr>
                          <w:sz w:val="18"/>
                          <w:szCs w:val="18"/>
                        </w:rPr>
                        <w:t xml:space="preserve">Clarence </w:t>
                      </w:r>
                      <w:r>
                        <w:rPr>
                          <w:sz w:val="18"/>
                          <w:szCs w:val="18"/>
                        </w:rPr>
                        <w:t xml:space="preserve"> Earl</w:t>
                      </w:r>
                      <w:proofErr w:type="gramEnd"/>
                      <w:r>
                        <w:rPr>
                          <w:sz w:val="18"/>
                          <w:szCs w:val="18"/>
                        </w:rPr>
                        <w:t xml:space="preserve"> </w:t>
                      </w:r>
                      <w:r w:rsidRPr="00B22C65">
                        <w:rPr>
                          <w:sz w:val="18"/>
                          <w:szCs w:val="18"/>
                        </w:rPr>
                        <w:t>Gideon</w:t>
                      </w:r>
                      <w:r>
                        <w:rPr>
                          <w:sz w:val="18"/>
                          <w:szCs w:val="18"/>
                        </w:rPr>
                        <w:t>”</w:t>
                      </w:r>
                      <w:r w:rsidRPr="00B22C65">
                        <w:rPr>
                          <w:sz w:val="18"/>
                          <w:szCs w:val="18"/>
                        </w:rPr>
                        <w:br/>
                      </w:r>
                      <w:r w:rsidRPr="00B22C65">
                        <w:rPr>
                          <w:sz w:val="12"/>
                          <w:szCs w:val="18"/>
                        </w:rPr>
                        <w:t xml:space="preserve">License: Public Domain. </w:t>
                      </w:r>
                      <w:r w:rsidRPr="00B22C65">
                        <w:rPr>
                          <w:sz w:val="12"/>
                          <w:szCs w:val="18"/>
                        </w:rPr>
                        <w:br/>
                        <w:t>URL: https://simple.wikipedia.org/wiki/Gideon_v._Wainwright#/media/File:Clarence_Earl_Gideon.jpg</w:t>
                      </w:r>
                      <w:r w:rsidRPr="00B22C65">
                        <w:rPr>
                          <w:sz w:val="18"/>
                        </w:rPr>
                        <w:t xml:space="preserve"> </w:t>
                      </w:r>
                      <w:r w:rsidRPr="00B22C65">
                        <w:rPr>
                          <w:sz w:val="10"/>
                          <w:szCs w:val="18"/>
                        </w:rPr>
                        <w:t>https://simple.wikipedia.org/wiki/Gideon_v._Wainwright#/media/File</w:t>
                      </w:r>
                      <w:r w:rsidRPr="00B22C65">
                        <w:rPr>
                          <w:sz w:val="18"/>
                          <w:szCs w:val="18"/>
                        </w:rPr>
                        <w:t>:</w:t>
                      </w:r>
                      <w:r w:rsidRPr="00B22C65">
                        <w:rPr>
                          <w:sz w:val="10"/>
                          <w:szCs w:val="18"/>
                        </w:rPr>
                        <w:t>Clarence_Earl_Gideon.jpghttps://simple.wikipedia</w:t>
                      </w:r>
                      <w:r w:rsidRPr="00B22C65">
                        <w:rPr>
                          <w:sz w:val="18"/>
                          <w:szCs w:val="18"/>
                        </w:rPr>
                        <w:t>.org/</w:t>
                      </w:r>
                      <w:r w:rsidRPr="00B22C65">
                        <w:rPr>
                          <w:sz w:val="10"/>
                          <w:szCs w:val="18"/>
                        </w:rPr>
                        <w:t>wiki/Gideon_v._Wainwright#/media/File:Clarence_Earl_Gideon.jpg</w:t>
                      </w:r>
                    </w:p>
                  </w:txbxContent>
                </v:textbox>
              </v:shape>
            </w:pict>
          </mc:Fallback>
        </mc:AlternateContent>
      </w:r>
      <w:r w:rsidR="002E7C46" w:rsidRPr="00B22C65">
        <w:rPr>
          <w:b/>
          <w:szCs w:val="24"/>
          <w:lang w:val="en"/>
        </w:rPr>
        <w:t>9-0 Decision.</w:t>
      </w:r>
      <w:r w:rsidR="002E7C46" w:rsidRPr="00B22C65">
        <w:rPr>
          <w:szCs w:val="24"/>
          <w:lang w:val="en"/>
        </w:rPr>
        <w:t xml:space="preserve">  Yes. </w:t>
      </w:r>
      <w:r w:rsidR="00655DD4" w:rsidRPr="00B22C65">
        <w:rPr>
          <w:szCs w:val="24"/>
          <w:lang w:val="en"/>
        </w:rPr>
        <w:tab/>
      </w:r>
      <w:r w:rsidR="00655DD4" w:rsidRPr="00B22C65">
        <w:rPr>
          <w:szCs w:val="24"/>
          <w:lang w:val="en"/>
        </w:rPr>
        <w:tab/>
      </w:r>
      <w:r w:rsidR="00655DD4" w:rsidRPr="00B22C65">
        <w:rPr>
          <w:szCs w:val="24"/>
          <w:lang w:val="en"/>
        </w:rPr>
        <w:tab/>
      </w:r>
      <w:r w:rsidR="00655DD4" w:rsidRPr="00B22C65">
        <w:rPr>
          <w:szCs w:val="24"/>
          <w:lang w:val="en"/>
        </w:rPr>
        <w:tab/>
      </w:r>
      <w:r w:rsidR="00655DD4" w:rsidRPr="00B22C65">
        <w:rPr>
          <w:szCs w:val="24"/>
          <w:lang w:val="en"/>
        </w:rPr>
        <w:tab/>
      </w:r>
      <w:r w:rsidR="00353CED" w:rsidRPr="00655DD4">
        <w:rPr>
          <w:noProof/>
          <w:szCs w:val="24"/>
        </w:rPr>
        <w:drawing>
          <wp:inline distT="0" distB="0" distL="0" distR="0" wp14:anchorId="6F4BB326" wp14:editId="4624BEC7">
            <wp:extent cx="1608672" cy="1922699"/>
            <wp:effectExtent l="0" t="0" r="0" b="1905"/>
            <wp:docPr id="24580" name="Picture 3" descr="gid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80" name="Picture 3" descr="gideon.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117" cy="1926816"/>
                    </a:xfrm>
                    <a:prstGeom prst="rect">
                      <a:avLst/>
                    </a:prstGeom>
                    <a:noFill/>
                    <a:ln>
                      <a:noFill/>
                    </a:ln>
                    <a:extLst/>
                  </pic:spPr>
                </pic:pic>
              </a:graphicData>
            </a:graphic>
          </wp:inline>
        </w:drawing>
      </w:r>
    </w:p>
    <w:p w:rsidR="002E7C46" w:rsidRDefault="002E7C46" w:rsidP="002E7C46">
      <w:pPr>
        <w:rPr>
          <w:b/>
          <w:i/>
          <w:szCs w:val="24"/>
        </w:rPr>
      </w:pPr>
    </w:p>
    <w:p w:rsidR="002E7C46" w:rsidRPr="004D4CF9" w:rsidRDefault="002E7C46" w:rsidP="002E7C46">
      <w:pPr>
        <w:rPr>
          <w:b/>
          <w:szCs w:val="24"/>
        </w:rPr>
      </w:pPr>
      <w:r w:rsidRPr="004D4CF9">
        <w:rPr>
          <w:b/>
          <w:szCs w:val="24"/>
        </w:rPr>
        <w:t xml:space="preserve">Other notable cases: </w:t>
      </w:r>
    </w:p>
    <w:p w:rsidR="002E7C46" w:rsidRPr="00542418" w:rsidRDefault="002E7C46" w:rsidP="002E7C46">
      <w:pPr>
        <w:rPr>
          <w:b/>
          <w:szCs w:val="24"/>
        </w:rPr>
      </w:pPr>
      <w:r w:rsidRPr="00542418">
        <w:rPr>
          <w:b/>
          <w:i/>
          <w:szCs w:val="24"/>
        </w:rPr>
        <w:t>Miranda v. Arizona</w:t>
      </w:r>
      <w:r w:rsidRPr="00542418">
        <w:rPr>
          <w:b/>
          <w:szCs w:val="24"/>
        </w:rPr>
        <w:t xml:space="preserve"> (1966)</w:t>
      </w:r>
    </w:p>
    <w:p w:rsidR="002E7C46" w:rsidRPr="00542418" w:rsidRDefault="002E7C46" w:rsidP="002E7C46">
      <w:pPr>
        <w:numPr>
          <w:ilvl w:val="0"/>
          <w:numId w:val="13"/>
        </w:numPr>
        <w:rPr>
          <w:szCs w:val="24"/>
          <w:lang w:val="en"/>
        </w:rPr>
      </w:pPr>
      <w:r>
        <w:rPr>
          <w:szCs w:val="24"/>
          <w:lang w:val="en"/>
        </w:rPr>
        <w:t xml:space="preserve">Consolidation of three cases: </w:t>
      </w:r>
      <w:r w:rsidRPr="00542418">
        <w:rPr>
          <w:i/>
          <w:szCs w:val="24"/>
          <w:lang w:val="en"/>
        </w:rPr>
        <w:t xml:space="preserve">California v. Stewart, </w:t>
      </w:r>
      <w:proofErr w:type="spellStart"/>
      <w:r w:rsidRPr="00542418">
        <w:rPr>
          <w:i/>
          <w:szCs w:val="24"/>
          <w:lang w:val="en"/>
        </w:rPr>
        <w:t>Vignera</w:t>
      </w:r>
      <w:proofErr w:type="spellEnd"/>
      <w:r w:rsidRPr="00542418">
        <w:rPr>
          <w:i/>
          <w:szCs w:val="24"/>
          <w:lang w:val="en"/>
        </w:rPr>
        <w:t xml:space="preserve"> v. New York, Westover v. United States</w:t>
      </w:r>
    </w:p>
    <w:p w:rsidR="002E7C46" w:rsidRDefault="002E7C46" w:rsidP="002E7C46">
      <w:pPr>
        <w:numPr>
          <w:ilvl w:val="0"/>
          <w:numId w:val="13"/>
        </w:numPr>
        <w:rPr>
          <w:szCs w:val="24"/>
          <w:lang w:val="en"/>
        </w:rPr>
      </w:pPr>
      <w:r w:rsidRPr="00655DD4">
        <w:rPr>
          <w:b/>
          <w:szCs w:val="24"/>
          <w:u w:val="single"/>
          <w:lang w:val="en"/>
        </w:rPr>
        <w:t>Constitutional question</w:t>
      </w:r>
      <w:r>
        <w:rPr>
          <w:b/>
          <w:szCs w:val="24"/>
          <w:lang w:val="en"/>
        </w:rPr>
        <w:t xml:space="preserve">: </w:t>
      </w:r>
      <w:r w:rsidRPr="00542418">
        <w:rPr>
          <w:szCs w:val="24"/>
          <w:lang w:val="en"/>
        </w:rPr>
        <w:t>Does the police practice of interrog</w:t>
      </w:r>
      <w:r>
        <w:rPr>
          <w:szCs w:val="24"/>
          <w:lang w:val="en"/>
        </w:rPr>
        <w:t>ating individuals without notif</w:t>
      </w:r>
      <w:r w:rsidRPr="00542418">
        <w:rPr>
          <w:szCs w:val="24"/>
          <w:lang w:val="en"/>
        </w:rPr>
        <w:t>ying them of their right to counsel and their protection against self-incrimination violate the Fifth Amendment?</w:t>
      </w:r>
    </w:p>
    <w:p w:rsidR="002E7C46" w:rsidRDefault="002E7C46" w:rsidP="002E7C46">
      <w:pPr>
        <w:numPr>
          <w:ilvl w:val="0"/>
          <w:numId w:val="13"/>
        </w:numPr>
        <w:rPr>
          <w:szCs w:val="24"/>
          <w:lang w:val="en"/>
        </w:rPr>
      </w:pPr>
      <w:r w:rsidRPr="00655DD4">
        <w:rPr>
          <w:b/>
          <w:szCs w:val="24"/>
          <w:lang w:val="en"/>
        </w:rPr>
        <w:lastRenderedPageBreak/>
        <w:t>5-4 Decision</w:t>
      </w:r>
      <w:r>
        <w:rPr>
          <w:szCs w:val="24"/>
          <w:lang w:val="en"/>
        </w:rPr>
        <w:t xml:space="preserve">: </w:t>
      </w:r>
      <w:r w:rsidRPr="00542418">
        <w:rPr>
          <w:szCs w:val="24"/>
          <w:lang w:val="en"/>
        </w:rPr>
        <w:t>The Court held that prosecutors could not use statements stemming from custodial interrogation of defendants unless they demonstrated the use of procedural safeguards "effective to secure the privil</w:t>
      </w:r>
      <w:r w:rsidR="00655DD4">
        <w:rPr>
          <w:szCs w:val="24"/>
          <w:lang w:val="en"/>
        </w:rPr>
        <w:t>ege against self- incrimination</w:t>
      </w:r>
      <w:r w:rsidRPr="00542418">
        <w:rPr>
          <w:szCs w:val="24"/>
          <w:lang w:val="en"/>
        </w:rPr>
        <w:t>"</w:t>
      </w:r>
      <w:r w:rsidR="00655DD4">
        <w:rPr>
          <w:szCs w:val="24"/>
          <w:lang w:val="en"/>
        </w:rPr>
        <w:t xml:space="preserve"> (Oyez). </w:t>
      </w:r>
    </w:p>
    <w:p w:rsidR="002E7C46" w:rsidRDefault="002E7C46" w:rsidP="002E7C46">
      <w:pPr>
        <w:numPr>
          <w:ilvl w:val="0"/>
          <w:numId w:val="13"/>
        </w:numPr>
        <w:rPr>
          <w:szCs w:val="24"/>
          <w:lang w:val="en"/>
        </w:rPr>
      </w:pPr>
      <w:r w:rsidRPr="00542418">
        <w:rPr>
          <w:szCs w:val="24"/>
          <w:lang w:val="en"/>
        </w:rPr>
        <w:t>The Court specifically outlined the necessary aspects of police warnings to suspects, including warnings of the right to remain silent and the right to have counsel present during interrogations</w:t>
      </w:r>
      <w:r w:rsidR="00655DD4">
        <w:rPr>
          <w:szCs w:val="24"/>
          <w:lang w:val="en"/>
        </w:rPr>
        <w:t xml:space="preserve"> (Ibid)</w:t>
      </w:r>
      <w:r w:rsidRPr="00542418">
        <w:rPr>
          <w:szCs w:val="24"/>
          <w:lang w:val="en"/>
        </w:rPr>
        <w:t>.</w:t>
      </w:r>
    </w:p>
    <w:p w:rsidR="002E7C46" w:rsidRDefault="002E7C46" w:rsidP="002E7C46">
      <w:pPr>
        <w:rPr>
          <w:b/>
          <w:szCs w:val="24"/>
        </w:rPr>
      </w:pPr>
    </w:p>
    <w:p w:rsidR="002E7C46" w:rsidRDefault="002E7C46" w:rsidP="002E7C46">
      <w:pPr>
        <w:rPr>
          <w:szCs w:val="24"/>
        </w:rPr>
      </w:pPr>
      <w:proofErr w:type="spellStart"/>
      <w:r w:rsidRPr="00090F3E">
        <w:rPr>
          <w:b/>
          <w:i/>
          <w:szCs w:val="24"/>
        </w:rPr>
        <w:t>Griswald</w:t>
      </w:r>
      <w:proofErr w:type="spellEnd"/>
      <w:r w:rsidRPr="00090F3E">
        <w:rPr>
          <w:b/>
          <w:i/>
          <w:szCs w:val="24"/>
        </w:rPr>
        <w:t xml:space="preserve"> v. Connecticut</w:t>
      </w:r>
      <w:r>
        <w:rPr>
          <w:b/>
          <w:i/>
          <w:szCs w:val="24"/>
        </w:rPr>
        <w:t xml:space="preserve"> (1964)</w:t>
      </w:r>
      <w:r w:rsidRPr="001C38E7">
        <w:rPr>
          <w:szCs w:val="24"/>
        </w:rPr>
        <w:t xml:space="preserve">: </w:t>
      </w:r>
    </w:p>
    <w:p w:rsidR="002E7C46" w:rsidRDefault="002E7C46" w:rsidP="002E7C46">
      <w:pPr>
        <w:numPr>
          <w:ilvl w:val="0"/>
          <w:numId w:val="15"/>
        </w:numPr>
        <w:rPr>
          <w:szCs w:val="24"/>
        </w:rPr>
      </w:pPr>
      <w:r>
        <w:rPr>
          <w:szCs w:val="24"/>
          <w:lang w:val="en"/>
        </w:rPr>
        <w:t xml:space="preserve">Estelle </w:t>
      </w:r>
      <w:r w:rsidRPr="00542418">
        <w:rPr>
          <w:szCs w:val="24"/>
          <w:lang w:val="en"/>
        </w:rPr>
        <w:t>Griswold was the Executive Director of the Planned Parenthood League of Connecticut. Both she and the Medical Director for the League</w:t>
      </w:r>
      <w:r>
        <w:rPr>
          <w:szCs w:val="24"/>
          <w:lang w:val="en"/>
        </w:rPr>
        <w:t>, John Buxton,</w:t>
      </w:r>
      <w:r w:rsidRPr="00542418">
        <w:rPr>
          <w:szCs w:val="24"/>
          <w:lang w:val="en"/>
        </w:rPr>
        <w:t xml:space="preserve"> gave information, instruction, and other medical advice to married couples concerning birth control. Griswold and her colleague were convicted under a Connecticut law which criminalized the provision of counselling, and other medical treatment, to married persons for purposes of preventing conception</w:t>
      </w:r>
    </w:p>
    <w:p w:rsidR="002E7C46" w:rsidRDefault="002E7C46" w:rsidP="002E7C46">
      <w:pPr>
        <w:numPr>
          <w:ilvl w:val="0"/>
          <w:numId w:val="14"/>
        </w:numPr>
        <w:rPr>
          <w:szCs w:val="24"/>
        </w:rPr>
      </w:pPr>
      <w:r w:rsidRPr="00655DD4">
        <w:rPr>
          <w:b/>
          <w:szCs w:val="24"/>
          <w:u w:val="single"/>
        </w:rPr>
        <w:t>Constitutional question</w:t>
      </w:r>
      <w:r w:rsidRPr="00542418">
        <w:rPr>
          <w:b/>
          <w:szCs w:val="24"/>
        </w:rPr>
        <w:t>:</w:t>
      </w:r>
      <w:r>
        <w:rPr>
          <w:szCs w:val="24"/>
        </w:rPr>
        <w:t xml:space="preserve"> </w:t>
      </w:r>
      <w:r>
        <w:rPr>
          <w:lang w:val="en"/>
        </w:rPr>
        <w:t>Does the Constitution protect the right of marital privacy against state restrictions on a couple's ability to be counseled in the use of contraceptives?</w:t>
      </w:r>
    </w:p>
    <w:p w:rsidR="002E7C46" w:rsidRPr="00655DD4" w:rsidRDefault="002E7C46" w:rsidP="002E7C46">
      <w:pPr>
        <w:numPr>
          <w:ilvl w:val="0"/>
          <w:numId w:val="14"/>
        </w:numPr>
        <w:rPr>
          <w:szCs w:val="24"/>
        </w:rPr>
      </w:pPr>
      <w:r>
        <w:rPr>
          <w:szCs w:val="24"/>
        </w:rPr>
        <w:t>7-2 Decision:</w:t>
      </w:r>
      <w:r w:rsidRPr="00C7530E">
        <w:rPr>
          <w:lang w:val="en"/>
        </w:rPr>
        <w:t xml:space="preserve"> </w:t>
      </w:r>
      <w:r w:rsidRPr="00C7530E">
        <w:rPr>
          <w:szCs w:val="24"/>
          <w:lang w:val="en"/>
        </w:rPr>
        <w:t>Though the Constitution does not explicitly protect a general right to privacy, the various guarantees within the Bill of Rights create</w:t>
      </w:r>
      <w:r w:rsidRPr="00C7530E">
        <w:rPr>
          <w:b/>
          <w:szCs w:val="24"/>
          <w:lang w:val="en"/>
        </w:rPr>
        <w:t xml:space="preserve"> penumbras, or zones, that establish a right to privacy. </w:t>
      </w:r>
      <w:r w:rsidRPr="00C7530E">
        <w:rPr>
          <w:szCs w:val="24"/>
          <w:lang w:val="en"/>
        </w:rPr>
        <w:t>Together, the First, Third, Fourth, and Ninth Amendments, create a new constitutional right, the right to privacy in marital relations</w:t>
      </w:r>
      <w:r w:rsidR="00655DD4">
        <w:rPr>
          <w:szCs w:val="24"/>
          <w:lang w:val="en"/>
        </w:rPr>
        <w:t xml:space="preserve"> (Oyez). </w:t>
      </w:r>
    </w:p>
    <w:p w:rsidR="00655DD4" w:rsidRDefault="00655DD4" w:rsidP="00655DD4">
      <w:pPr>
        <w:ind w:left="720"/>
        <w:rPr>
          <w:szCs w:val="24"/>
        </w:rPr>
      </w:pPr>
    </w:p>
    <w:p w:rsidR="008B2408" w:rsidRDefault="008B2408" w:rsidP="007A51A4">
      <w:pPr>
        <w:jc w:val="center"/>
        <w:rPr>
          <w:b/>
          <w:u w:val="single"/>
        </w:rPr>
      </w:pPr>
    </w:p>
    <w:p w:rsidR="008B2408" w:rsidRDefault="008B2408" w:rsidP="007A51A4">
      <w:pPr>
        <w:jc w:val="center"/>
        <w:rPr>
          <w:b/>
          <w:u w:val="single"/>
        </w:rPr>
      </w:pPr>
    </w:p>
    <w:p w:rsidR="008B2408" w:rsidRDefault="008B2408" w:rsidP="007A51A4">
      <w:pPr>
        <w:jc w:val="center"/>
        <w:rPr>
          <w:b/>
          <w:u w:val="single"/>
        </w:rPr>
      </w:pPr>
    </w:p>
    <w:p w:rsidR="008B2408" w:rsidRDefault="008B2408" w:rsidP="007A51A4">
      <w:pPr>
        <w:jc w:val="center"/>
        <w:rPr>
          <w:b/>
          <w:u w:val="single"/>
        </w:rPr>
      </w:pPr>
    </w:p>
    <w:p w:rsidR="008B2408" w:rsidRDefault="008B2408" w:rsidP="007A51A4">
      <w:pPr>
        <w:jc w:val="center"/>
        <w:rPr>
          <w:b/>
          <w:u w:val="single"/>
        </w:rPr>
      </w:pPr>
    </w:p>
    <w:p w:rsidR="008B2408" w:rsidRDefault="008B2408" w:rsidP="007A51A4">
      <w:pPr>
        <w:jc w:val="center"/>
        <w:rPr>
          <w:b/>
          <w:u w:val="single"/>
        </w:rPr>
      </w:pPr>
    </w:p>
    <w:p w:rsidR="008B2408" w:rsidRDefault="008B2408" w:rsidP="007A51A4">
      <w:pPr>
        <w:jc w:val="center"/>
        <w:rPr>
          <w:b/>
          <w:u w:val="single"/>
        </w:rPr>
      </w:pPr>
    </w:p>
    <w:p w:rsidR="008B2408" w:rsidRDefault="008B2408" w:rsidP="007A51A4">
      <w:pPr>
        <w:jc w:val="center"/>
        <w:rPr>
          <w:b/>
          <w:u w:val="single"/>
        </w:rPr>
      </w:pPr>
    </w:p>
    <w:p w:rsidR="00180349" w:rsidRPr="007A51A4" w:rsidRDefault="00353CED" w:rsidP="007A51A4">
      <w:pPr>
        <w:jc w:val="center"/>
        <w:rPr>
          <w:b/>
          <w:u w:val="single"/>
        </w:rPr>
      </w:pPr>
      <w:r w:rsidRPr="007A51A4">
        <w:rPr>
          <w:b/>
          <w:u w:val="single"/>
        </w:rPr>
        <w:lastRenderedPageBreak/>
        <w:t>Works Cited</w:t>
      </w:r>
    </w:p>
    <w:p w:rsidR="00353CED" w:rsidRDefault="00353CED" w:rsidP="00353CED">
      <w:pPr>
        <w:rPr>
          <w:rStyle w:val="Emphasis"/>
          <w:i w:val="0"/>
          <w:iCs w:val="0"/>
          <w:u w:val="single"/>
          <w:lang w:val="en"/>
        </w:rPr>
      </w:pPr>
      <w:r w:rsidRPr="00AB079E">
        <w:rPr>
          <w:u w:val="single"/>
          <w:lang w:val="en"/>
        </w:rPr>
        <w:t>BRANDENBURG v. OHIO. The Oyez Project at IIT Chicago-Kent College of Law. 30 December 2014. &lt;http://www.oyez.org/cases/1960-1969/1968/1968_492&gt;.</w:t>
      </w:r>
    </w:p>
    <w:p w:rsidR="00353CED" w:rsidRDefault="00353CED" w:rsidP="00353CED">
      <w:pPr>
        <w:rPr>
          <w:szCs w:val="24"/>
          <w:u w:val="single"/>
          <w:lang w:val="en"/>
        </w:rPr>
      </w:pPr>
      <w:r w:rsidRPr="00730C14">
        <w:rPr>
          <w:szCs w:val="24"/>
          <w:u w:val="single"/>
          <w:lang w:val="en"/>
        </w:rPr>
        <w:t>DISTRICT OF COLUMBIA v. HELLER. The Oyez Project at IIT Chicago-Kent College of Law. 31 December 2014. &lt;http://www.oyez.org/cases/2000-2009/2007/2007_07_290&gt;.</w:t>
      </w:r>
    </w:p>
    <w:p w:rsidR="00353CED" w:rsidRDefault="00353CED" w:rsidP="00353CED">
      <w:pPr>
        <w:rPr>
          <w:szCs w:val="24"/>
          <w:u w:val="single"/>
          <w:lang w:val="en"/>
        </w:rPr>
      </w:pPr>
      <w:r w:rsidRPr="00AB079E">
        <w:rPr>
          <w:szCs w:val="24"/>
          <w:u w:val="single"/>
          <w:lang w:val="en"/>
        </w:rPr>
        <w:t>DENNIS v. UNITED STATES. The Oyez Project at IIT Chicago-Kent College of Law. 28 December 2014. &lt;http://www.oyez.org/cases/1950-1959/1950/1950_336&gt;.</w:t>
      </w:r>
    </w:p>
    <w:p w:rsidR="00353CED" w:rsidRDefault="00353CED" w:rsidP="00353CED">
      <w:pPr>
        <w:rPr>
          <w:szCs w:val="24"/>
          <w:u w:val="single"/>
          <w:lang w:val="en"/>
        </w:rPr>
      </w:pPr>
      <w:r>
        <w:rPr>
          <w:rStyle w:val="Emphasis"/>
          <w:i w:val="0"/>
          <w:iCs w:val="0"/>
          <w:u w:val="single"/>
          <w:lang w:val="en"/>
        </w:rPr>
        <w:t>GIDEON v. WAINWRIGHT</w:t>
      </w:r>
      <w:r>
        <w:rPr>
          <w:lang w:val="en"/>
        </w:rPr>
        <w:t>. The Oyez Project at IIT Chicago-Kent College of Law. 31 December 2014. &lt;</w:t>
      </w:r>
      <w:r>
        <w:rPr>
          <w:rStyle w:val="Emphasis"/>
          <w:i w:val="0"/>
          <w:iCs w:val="0"/>
          <w:u w:val="single"/>
          <w:lang w:val="en"/>
        </w:rPr>
        <w:t>http://www.oyez.org/cases/1960-1969/1962/1962_155</w:t>
      </w:r>
      <w:r>
        <w:rPr>
          <w:lang w:val="en"/>
        </w:rPr>
        <w:t>&gt;.</w:t>
      </w:r>
    </w:p>
    <w:p w:rsidR="00353CED" w:rsidRDefault="00353CED" w:rsidP="00353CED">
      <w:pPr>
        <w:rPr>
          <w:szCs w:val="24"/>
          <w:lang w:val="en"/>
        </w:rPr>
      </w:pPr>
      <w:r w:rsidRPr="00DF0900">
        <w:rPr>
          <w:szCs w:val="24"/>
          <w:u w:val="single"/>
          <w:lang w:val="en"/>
        </w:rPr>
        <w:t>GITLOW v. NEW YORK</w:t>
      </w:r>
      <w:r w:rsidRPr="00DF0900">
        <w:rPr>
          <w:szCs w:val="24"/>
          <w:lang w:val="en"/>
        </w:rPr>
        <w:t>. The Oyez Project at IIT Chicago-Kent College of Law. 28 December 2014. &lt;</w:t>
      </w:r>
      <w:r w:rsidRPr="00DF0900">
        <w:rPr>
          <w:szCs w:val="24"/>
          <w:u w:val="single"/>
          <w:lang w:val="en"/>
        </w:rPr>
        <w:t>http://www.oyez.org/cases/1901-1939/1922/1922_19</w:t>
      </w:r>
      <w:r w:rsidRPr="00DF0900">
        <w:rPr>
          <w:szCs w:val="24"/>
          <w:lang w:val="en"/>
        </w:rPr>
        <w:t>&gt;.</w:t>
      </w:r>
    </w:p>
    <w:p w:rsidR="00353CED" w:rsidRDefault="00353CED" w:rsidP="00353CED">
      <w:pPr>
        <w:rPr>
          <w:u w:val="single"/>
          <w:lang w:val="en"/>
        </w:rPr>
      </w:pPr>
      <w:r w:rsidRPr="00C7530E">
        <w:rPr>
          <w:u w:val="single"/>
          <w:lang w:val="en"/>
        </w:rPr>
        <w:t>GRISWOLD v. CONNECTICUT. The Oyez Project at IIT Chicago-Kent College of Law. 28 December 2014. &lt;http://www.oyez.org/cases/1960-1969/1964/1964_496&gt;.</w:t>
      </w:r>
    </w:p>
    <w:p w:rsidR="00831CDB" w:rsidRDefault="00831CDB" w:rsidP="00B47F23">
      <w:pPr>
        <w:spacing w:after="0" w:line="240" w:lineRule="auto"/>
        <w:rPr>
          <w:rFonts w:eastAsia="Times New Roman"/>
          <w:szCs w:val="24"/>
        </w:rPr>
      </w:pPr>
      <w:r>
        <w:t xml:space="preserve">"Hague v. Committee for Industrial Organization." </w:t>
      </w:r>
      <w:r>
        <w:rPr>
          <w:i/>
          <w:iCs/>
        </w:rPr>
        <w:t>Oyez.</w:t>
      </w:r>
      <w:r>
        <w:t xml:space="preserve"> Chicago-Kent College of Law at Illinois Tech, n.d. Oct 21, 2016. &lt;https://www.oyez.org/cases/1900-1940/307us496</w:t>
      </w:r>
      <w:r w:rsidRPr="00B47F23">
        <w:rPr>
          <w:rFonts w:eastAsia="Times New Roman"/>
          <w:szCs w:val="24"/>
        </w:rPr>
        <w:t xml:space="preserve"> </w:t>
      </w:r>
    </w:p>
    <w:p w:rsidR="00831CDB" w:rsidRDefault="00831CDB" w:rsidP="00B47F23">
      <w:pPr>
        <w:spacing w:after="0" w:line="240" w:lineRule="auto"/>
        <w:rPr>
          <w:rFonts w:eastAsia="Times New Roman"/>
          <w:szCs w:val="24"/>
        </w:rPr>
      </w:pPr>
    </w:p>
    <w:p w:rsidR="00B47F23" w:rsidRPr="00B47F23" w:rsidRDefault="00B47F23" w:rsidP="00B47F23">
      <w:pPr>
        <w:spacing w:after="0" w:line="240" w:lineRule="auto"/>
        <w:rPr>
          <w:rFonts w:eastAsia="Times New Roman"/>
          <w:szCs w:val="24"/>
        </w:rPr>
      </w:pPr>
      <w:r w:rsidRPr="00B47F23">
        <w:rPr>
          <w:rFonts w:eastAsia="Times New Roman"/>
          <w:szCs w:val="24"/>
        </w:rPr>
        <w:t xml:space="preserve">Harrison, Brigid C., Jean Harris, and Michelle D. Deardorff. </w:t>
      </w:r>
      <w:r w:rsidRPr="00B47F23">
        <w:rPr>
          <w:rFonts w:eastAsia="Times New Roman"/>
          <w:i/>
          <w:iCs/>
          <w:szCs w:val="24"/>
        </w:rPr>
        <w:t>American Democracy Now</w:t>
      </w:r>
      <w:r w:rsidRPr="00B47F23">
        <w:rPr>
          <w:rFonts w:eastAsia="Times New Roman"/>
          <w:szCs w:val="24"/>
        </w:rPr>
        <w:t xml:space="preserve">. 4th ed. New York: McGraw-Hill, 2016. Print. </w:t>
      </w:r>
    </w:p>
    <w:p w:rsidR="00353CED" w:rsidRDefault="00B47F23" w:rsidP="00353CED">
      <w:pPr>
        <w:rPr>
          <w:rStyle w:val="Emphasis"/>
          <w:i w:val="0"/>
          <w:iCs w:val="0"/>
          <w:u w:val="single"/>
          <w:lang w:val="en"/>
        </w:rPr>
      </w:pPr>
      <w:r>
        <w:rPr>
          <w:u w:val="single"/>
          <w:lang w:val="en"/>
        </w:rPr>
        <w:br/>
      </w:r>
      <w:r w:rsidR="00353CED" w:rsidRPr="003B2275">
        <w:rPr>
          <w:u w:val="single"/>
          <w:lang w:val="en"/>
        </w:rPr>
        <w:t>LEMON v. KURTZMAN. The Oyez Project at IIT Chicago-Kent College of Law. 28 December 2014. &lt;http://www.oyez.org/cases/1970-1979/1970/1970_89&gt;.</w:t>
      </w:r>
    </w:p>
    <w:p w:rsidR="00353CED" w:rsidRDefault="00353CED" w:rsidP="00353CED">
      <w:pPr>
        <w:rPr>
          <w:lang w:val="en"/>
        </w:rPr>
      </w:pPr>
      <w:r>
        <w:rPr>
          <w:rStyle w:val="Emphasis"/>
          <w:i w:val="0"/>
          <w:iCs w:val="0"/>
          <w:u w:val="single"/>
          <w:lang w:val="en"/>
        </w:rPr>
        <w:t>SCHENCK v. UNITED STATES</w:t>
      </w:r>
      <w:r>
        <w:rPr>
          <w:lang w:val="en"/>
        </w:rPr>
        <w:t>. The Oyez Project at IIT Chicago-Kent College of Law. 30 December 2014. &lt;</w:t>
      </w:r>
      <w:r>
        <w:rPr>
          <w:rStyle w:val="Emphasis"/>
          <w:i w:val="0"/>
          <w:iCs w:val="0"/>
          <w:u w:val="single"/>
          <w:lang w:val="en"/>
        </w:rPr>
        <w:t>http://www.oyez.org/cases/1901-1939/1918/1918_437</w:t>
      </w:r>
      <w:r>
        <w:rPr>
          <w:lang w:val="en"/>
        </w:rPr>
        <w:t>&gt;.</w:t>
      </w:r>
    </w:p>
    <w:p w:rsidR="00353CED" w:rsidRDefault="00353CED" w:rsidP="00353CED">
      <w:pPr>
        <w:rPr>
          <w:rStyle w:val="Emphasis"/>
          <w:i w:val="0"/>
          <w:iCs w:val="0"/>
          <w:u w:val="single"/>
          <w:lang w:val="en"/>
        </w:rPr>
      </w:pPr>
      <w:r w:rsidRPr="00730C14">
        <w:rPr>
          <w:u w:val="single"/>
          <w:lang w:val="en"/>
        </w:rPr>
        <w:t>MCDONALD v. CHICAGO. The Oyez Project at IIT Chicago-Kent College of Law. 30 December 2014. &lt;http://www.oyez.org/cases/2000-2009/2009/2009_08_1521&gt;.</w:t>
      </w:r>
    </w:p>
    <w:p w:rsidR="00180349" w:rsidRPr="00E22C82" w:rsidRDefault="00353CED" w:rsidP="00180349">
      <w:pPr>
        <w:rPr>
          <w:u w:val="single"/>
          <w:lang w:val="en"/>
        </w:rPr>
      </w:pPr>
      <w:r w:rsidRPr="00542418">
        <w:rPr>
          <w:u w:val="single"/>
          <w:lang w:val="en"/>
        </w:rPr>
        <w:t>MIRANDA v. ARIZONA. The Oyez Project at IIT Chicago-Kent College of Law. 31 December 2014. &lt;http://www.oyez.org/cases/1960-1969/1965/1965_759&gt;.</w:t>
      </w:r>
    </w:p>
    <w:sectPr w:rsidR="00180349" w:rsidRPr="00E22C8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9AD" w:rsidRDefault="005669AD" w:rsidP="002E7C46">
      <w:pPr>
        <w:spacing w:after="0" w:line="240" w:lineRule="auto"/>
      </w:pPr>
      <w:r>
        <w:separator/>
      </w:r>
    </w:p>
  </w:endnote>
  <w:endnote w:type="continuationSeparator" w:id="0">
    <w:p w:rsidR="005669AD" w:rsidRDefault="005669AD" w:rsidP="002E7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202" w:rsidRDefault="006C62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C46" w:rsidRDefault="002E7C46" w:rsidP="002E7C46">
    <w:pPr>
      <w:pStyle w:val="Footer"/>
    </w:pPr>
    <w:r>
      <w:t xml:space="preserve">Created by Zach </w:t>
    </w:r>
    <w:proofErr w:type="spellStart"/>
    <w:r>
      <w:t>Wilhide</w:t>
    </w:r>
    <w:proofErr w:type="spellEnd"/>
    <w:r>
      <w:t xml:space="preserve">, M.A. </w:t>
    </w:r>
    <w:r>
      <w:tab/>
    </w:r>
    <w:r>
      <w:tab/>
      <w:t>2016</w:t>
    </w:r>
    <w:r>
      <w:br/>
    </w:r>
    <w:hyperlink r:id="rId1" w:history="1">
      <w:r w:rsidRPr="00D100E0">
        <w:rPr>
          <w:rStyle w:val="Hyperlink"/>
        </w:rPr>
        <w:t>Creative Commons License—Attribution 4.0</w:t>
      </w:r>
    </w:hyperlink>
    <w:r>
      <w:t xml:space="preserve"> </w:t>
    </w:r>
  </w:p>
  <w:p w:rsidR="002E7C46" w:rsidRDefault="002E7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202" w:rsidRDefault="006C6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9AD" w:rsidRDefault="005669AD" w:rsidP="002E7C46">
      <w:pPr>
        <w:spacing w:after="0" w:line="240" w:lineRule="auto"/>
      </w:pPr>
      <w:r>
        <w:separator/>
      </w:r>
    </w:p>
  </w:footnote>
  <w:footnote w:type="continuationSeparator" w:id="0">
    <w:p w:rsidR="005669AD" w:rsidRDefault="005669AD" w:rsidP="002E7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202" w:rsidRDefault="006C6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C46" w:rsidRPr="002E7C46" w:rsidRDefault="002E7C46" w:rsidP="002E7C46">
    <w:pPr>
      <w:pStyle w:val="Header"/>
      <w:jc w:val="center"/>
      <w:rPr>
        <w:i/>
      </w:rPr>
    </w:pPr>
    <w:r w:rsidRPr="002E7C46">
      <w:rPr>
        <w:i/>
      </w:rPr>
      <w:t>Landmark Supreme Court Cases—</w:t>
    </w:r>
    <w:r w:rsidR="00831CDB">
      <w:rPr>
        <w:i/>
      </w:rPr>
      <w:t xml:space="preserve">Selective </w:t>
    </w:r>
    <w:r w:rsidRPr="002E7C46">
      <w:rPr>
        <w:i/>
      </w:rPr>
      <w:t xml:space="preserve">Incorporation Highlights </w:t>
    </w:r>
    <w:r w:rsidRPr="002E7C46">
      <w:rPr>
        <w:i/>
      </w:rPr>
      <w:br/>
    </w:r>
  </w:p>
  <w:p w:rsidR="002E7C46" w:rsidRDefault="002E7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202" w:rsidRDefault="006C6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2D4B"/>
    <w:multiLevelType w:val="hybridMultilevel"/>
    <w:tmpl w:val="A702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77DFE"/>
    <w:multiLevelType w:val="hybridMultilevel"/>
    <w:tmpl w:val="911E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55258"/>
    <w:multiLevelType w:val="hybridMultilevel"/>
    <w:tmpl w:val="935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539B6"/>
    <w:multiLevelType w:val="hybridMultilevel"/>
    <w:tmpl w:val="DC3E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D1F3B"/>
    <w:multiLevelType w:val="hybridMultilevel"/>
    <w:tmpl w:val="8962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06C56"/>
    <w:multiLevelType w:val="hybridMultilevel"/>
    <w:tmpl w:val="9B14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B5AB6"/>
    <w:multiLevelType w:val="hybridMultilevel"/>
    <w:tmpl w:val="A93E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6781B"/>
    <w:multiLevelType w:val="hybridMultilevel"/>
    <w:tmpl w:val="3CAA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306C5"/>
    <w:multiLevelType w:val="hybridMultilevel"/>
    <w:tmpl w:val="942E1F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F5D8C"/>
    <w:multiLevelType w:val="hybridMultilevel"/>
    <w:tmpl w:val="0992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13508"/>
    <w:multiLevelType w:val="hybridMultilevel"/>
    <w:tmpl w:val="7E66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A04C4"/>
    <w:multiLevelType w:val="hybridMultilevel"/>
    <w:tmpl w:val="9FA2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B0EDC"/>
    <w:multiLevelType w:val="hybridMultilevel"/>
    <w:tmpl w:val="93B2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D3B4C"/>
    <w:multiLevelType w:val="hybridMultilevel"/>
    <w:tmpl w:val="3BDE44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D3D6B58"/>
    <w:multiLevelType w:val="hybridMultilevel"/>
    <w:tmpl w:val="5B9A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12"/>
  </w:num>
  <w:num w:numId="5">
    <w:abstractNumId w:val="5"/>
  </w:num>
  <w:num w:numId="6">
    <w:abstractNumId w:val="10"/>
  </w:num>
  <w:num w:numId="7">
    <w:abstractNumId w:val="8"/>
  </w:num>
  <w:num w:numId="8">
    <w:abstractNumId w:val="11"/>
  </w:num>
  <w:num w:numId="9">
    <w:abstractNumId w:val="3"/>
  </w:num>
  <w:num w:numId="10">
    <w:abstractNumId w:val="0"/>
  </w:num>
  <w:num w:numId="11">
    <w:abstractNumId w:val="13"/>
  </w:num>
  <w:num w:numId="12">
    <w:abstractNumId w:val="14"/>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18"/>
    <w:rsid w:val="00056D18"/>
    <w:rsid w:val="000652A6"/>
    <w:rsid w:val="000A1718"/>
    <w:rsid w:val="00180349"/>
    <w:rsid w:val="002E7C46"/>
    <w:rsid w:val="00353CED"/>
    <w:rsid w:val="0044587C"/>
    <w:rsid w:val="00461F3D"/>
    <w:rsid w:val="004E34B9"/>
    <w:rsid w:val="005669AD"/>
    <w:rsid w:val="00655DD4"/>
    <w:rsid w:val="006C2E4C"/>
    <w:rsid w:val="006C6202"/>
    <w:rsid w:val="007A51A4"/>
    <w:rsid w:val="00831CDB"/>
    <w:rsid w:val="008B2408"/>
    <w:rsid w:val="00A15E28"/>
    <w:rsid w:val="00AB7D11"/>
    <w:rsid w:val="00B22C65"/>
    <w:rsid w:val="00B47F23"/>
    <w:rsid w:val="00B72DEF"/>
    <w:rsid w:val="00BD71DD"/>
    <w:rsid w:val="00D70500"/>
    <w:rsid w:val="00E22C82"/>
    <w:rsid w:val="00F1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0A2E6-4B00-4BE5-8BB6-291D2231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C46"/>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6D18"/>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0652A6"/>
  </w:style>
  <w:style w:type="character" w:styleId="Emphasis">
    <w:name w:val="Emphasis"/>
    <w:basedOn w:val="DefaultParagraphFont"/>
    <w:uiPriority w:val="20"/>
    <w:qFormat/>
    <w:rsid w:val="00AB7D11"/>
    <w:rPr>
      <w:i/>
      <w:iCs/>
    </w:rPr>
  </w:style>
  <w:style w:type="paragraph" w:styleId="Header">
    <w:name w:val="header"/>
    <w:basedOn w:val="Normal"/>
    <w:link w:val="HeaderChar"/>
    <w:uiPriority w:val="99"/>
    <w:unhideWhenUsed/>
    <w:rsid w:val="002E7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C46"/>
    <w:rPr>
      <w:szCs w:val="22"/>
    </w:rPr>
  </w:style>
  <w:style w:type="paragraph" w:styleId="Footer">
    <w:name w:val="footer"/>
    <w:basedOn w:val="Normal"/>
    <w:link w:val="FooterChar"/>
    <w:uiPriority w:val="99"/>
    <w:unhideWhenUsed/>
    <w:rsid w:val="002E7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C46"/>
    <w:rPr>
      <w:szCs w:val="22"/>
    </w:rPr>
  </w:style>
  <w:style w:type="paragraph" w:styleId="BalloonText">
    <w:name w:val="Balloon Text"/>
    <w:basedOn w:val="Normal"/>
    <w:link w:val="BalloonTextChar"/>
    <w:uiPriority w:val="99"/>
    <w:semiHidden/>
    <w:unhideWhenUsed/>
    <w:rsid w:val="002E7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C46"/>
    <w:rPr>
      <w:rFonts w:ascii="Tahoma" w:hAnsi="Tahoma" w:cs="Tahoma"/>
      <w:sz w:val="16"/>
      <w:szCs w:val="16"/>
    </w:rPr>
  </w:style>
  <w:style w:type="character" w:styleId="Hyperlink">
    <w:name w:val="Hyperlink"/>
    <w:basedOn w:val="DefaultParagraphFont"/>
    <w:uiPriority w:val="99"/>
    <w:unhideWhenUsed/>
    <w:rsid w:val="002E7C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061313">
      <w:bodyDiv w:val="1"/>
      <w:marLeft w:val="0"/>
      <w:marRight w:val="0"/>
      <w:marTop w:val="0"/>
      <w:marBottom w:val="0"/>
      <w:divBdr>
        <w:top w:val="none" w:sz="0" w:space="0" w:color="auto"/>
        <w:left w:val="none" w:sz="0" w:space="0" w:color="auto"/>
        <w:bottom w:val="none" w:sz="0" w:space="0" w:color="auto"/>
        <w:right w:val="none" w:sz="0" w:space="0" w:color="auto"/>
      </w:divBdr>
    </w:div>
    <w:div w:id="453982574">
      <w:bodyDiv w:val="1"/>
      <w:marLeft w:val="0"/>
      <w:marRight w:val="0"/>
      <w:marTop w:val="0"/>
      <w:marBottom w:val="0"/>
      <w:divBdr>
        <w:top w:val="none" w:sz="0" w:space="0" w:color="auto"/>
        <w:left w:val="none" w:sz="0" w:space="0" w:color="auto"/>
        <w:bottom w:val="none" w:sz="0" w:space="0" w:color="auto"/>
        <w:right w:val="none" w:sz="0" w:space="0" w:color="auto"/>
      </w:divBdr>
    </w:div>
    <w:div w:id="497425124">
      <w:bodyDiv w:val="1"/>
      <w:marLeft w:val="0"/>
      <w:marRight w:val="0"/>
      <w:marTop w:val="0"/>
      <w:marBottom w:val="0"/>
      <w:divBdr>
        <w:top w:val="none" w:sz="0" w:space="0" w:color="auto"/>
        <w:left w:val="none" w:sz="0" w:space="0" w:color="auto"/>
        <w:bottom w:val="none" w:sz="0" w:space="0" w:color="auto"/>
        <w:right w:val="none" w:sz="0" w:space="0" w:color="auto"/>
      </w:divBdr>
    </w:div>
    <w:div w:id="773675434">
      <w:bodyDiv w:val="1"/>
      <w:marLeft w:val="0"/>
      <w:marRight w:val="0"/>
      <w:marTop w:val="0"/>
      <w:marBottom w:val="0"/>
      <w:divBdr>
        <w:top w:val="none" w:sz="0" w:space="0" w:color="auto"/>
        <w:left w:val="none" w:sz="0" w:space="0" w:color="auto"/>
        <w:bottom w:val="none" w:sz="0" w:space="0" w:color="auto"/>
        <w:right w:val="none" w:sz="0" w:space="0" w:color="auto"/>
      </w:divBdr>
    </w:div>
    <w:div w:id="980111365">
      <w:bodyDiv w:val="1"/>
      <w:marLeft w:val="0"/>
      <w:marRight w:val="0"/>
      <w:marTop w:val="0"/>
      <w:marBottom w:val="0"/>
      <w:divBdr>
        <w:top w:val="none" w:sz="0" w:space="0" w:color="auto"/>
        <w:left w:val="none" w:sz="0" w:space="0" w:color="auto"/>
        <w:bottom w:val="none" w:sz="0" w:space="0" w:color="auto"/>
        <w:right w:val="none" w:sz="0" w:space="0" w:color="auto"/>
      </w:divBdr>
    </w:div>
    <w:div w:id="1108500636">
      <w:bodyDiv w:val="1"/>
      <w:marLeft w:val="0"/>
      <w:marRight w:val="0"/>
      <w:marTop w:val="0"/>
      <w:marBottom w:val="0"/>
      <w:divBdr>
        <w:top w:val="none" w:sz="0" w:space="0" w:color="auto"/>
        <w:left w:val="none" w:sz="0" w:space="0" w:color="auto"/>
        <w:bottom w:val="none" w:sz="0" w:space="0" w:color="auto"/>
        <w:right w:val="none" w:sz="0" w:space="0" w:color="auto"/>
      </w:divBdr>
    </w:div>
    <w:div w:id="1353723831">
      <w:bodyDiv w:val="1"/>
      <w:marLeft w:val="0"/>
      <w:marRight w:val="0"/>
      <w:marTop w:val="0"/>
      <w:marBottom w:val="0"/>
      <w:divBdr>
        <w:top w:val="none" w:sz="0" w:space="0" w:color="auto"/>
        <w:left w:val="none" w:sz="0" w:space="0" w:color="auto"/>
        <w:bottom w:val="none" w:sz="0" w:space="0" w:color="auto"/>
        <w:right w:val="none" w:sz="0" w:space="0" w:color="auto"/>
      </w:divBdr>
      <w:divsChild>
        <w:div w:id="1357194038">
          <w:marLeft w:val="0"/>
          <w:marRight w:val="0"/>
          <w:marTop w:val="0"/>
          <w:marBottom w:val="0"/>
          <w:divBdr>
            <w:top w:val="none" w:sz="0" w:space="0" w:color="auto"/>
            <w:left w:val="none" w:sz="0" w:space="0" w:color="auto"/>
            <w:bottom w:val="none" w:sz="0" w:space="0" w:color="auto"/>
            <w:right w:val="none" w:sz="0" w:space="0" w:color="auto"/>
          </w:divBdr>
          <w:divsChild>
            <w:div w:id="518206209">
              <w:marLeft w:val="0"/>
              <w:marRight w:val="0"/>
              <w:marTop w:val="0"/>
              <w:marBottom w:val="0"/>
              <w:divBdr>
                <w:top w:val="none" w:sz="0" w:space="0" w:color="auto"/>
                <w:left w:val="none" w:sz="0" w:space="0" w:color="auto"/>
                <w:bottom w:val="none" w:sz="0" w:space="0" w:color="auto"/>
                <w:right w:val="none" w:sz="0" w:space="0" w:color="auto"/>
              </w:divBdr>
              <w:divsChild>
                <w:div w:id="1705666291">
                  <w:marLeft w:val="0"/>
                  <w:marRight w:val="0"/>
                  <w:marTop w:val="0"/>
                  <w:marBottom w:val="0"/>
                  <w:divBdr>
                    <w:top w:val="none" w:sz="0" w:space="0" w:color="auto"/>
                    <w:left w:val="none" w:sz="0" w:space="0" w:color="auto"/>
                    <w:bottom w:val="none" w:sz="0" w:space="0" w:color="auto"/>
                    <w:right w:val="none" w:sz="0" w:space="0" w:color="auto"/>
                  </w:divBdr>
                  <w:divsChild>
                    <w:div w:id="251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00166">
      <w:bodyDiv w:val="1"/>
      <w:marLeft w:val="0"/>
      <w:marRight w:val="0"/>
      <w:marTop w:val="0"/>
      <w:marBottom w:val="0"/>
      <w:divBdr>
        <w:top w:val="none" w:sz="0" w:space="0" w:color="auto"/>
        <w:left w:val="none" w:sz="0" w:space="0" w:color="auto"/>
        <w:bottom w:val="none" w:sz="0" w:space="0" w:color="auto"/>
        <w:right w:val="none" w:sz="0" w:space="0" w:color="auto"/>
      </w:divBdr>
    </w:div>
    <w:div w:id="1531338072">
      <w:bodyDiv w:val="1"/>
      <w:marLeft w:val="0"/>
      <w:marRight w:val="0"/>
      <w:marTop w:val="0"/>
      <w:marBottom w:val="0"/>
      <w:divBdr>
        <w:top w:val="none" w:sz="0" w:space="0" w:color="auto"/>
        <w:left w:val="none" w:sz="0" w:space="0" w:color="auto"/>
        <w:bottom w:val="none" w:sz="0" w:space="0" w:color="auto"/>
        <w:right w:val="none" w:sz="0" w:space="0" w:color="auto"/>
      </w:divBdr>
    </w:div>
    <w:div w:id="1582790709">
      <w:bodyDiv w:val="1"/>
      <w:marLeft w:val="0"/>
      <w:marRight w:val="0"/>
      <w:marTop w:val="0"/>
      <w:marBottom w:val="0"/>
      <w:divBdr>
        <w:top w:val="none" w:sz="0" w:space="0" w:color="auto"/>
        <w:left w:val="none" w:sz="0" w:space="0" w:color="auto"/>
        <w:bottom w:val="none" w:sz="0" w:space="0" w:color="auto"/>
        <w:right w:val="none" w:sz="0" w:space="0" w:color="auto"/>
      </w:divBdr>
    </w:div>
    <w:div w:id="1665552625">
      <w:bodyDiv w:val="1"/>
      <w:marLeft w:val="0"/>
      <w:marRight w:val="0"/>
      <w:marTop w:val="0"/>
      <w:marBottom w:val="0"/>
      <w:divBdr>
        <w:top w:val="none" w:sz="0" w:space="0" w:color="auto"/>
        <w:left w:val="none" w:sz="0" w:space="0" w:color="auto"/>
        <w:bottom w:val="none" w:sz="0" w:space="0" w:color="auto"/>
        <w:right w:val="none" w:sz="0" w:space="0" w:color="auto"/>
      </w:divBdr>
    </w:div>
    <w:div w:id="1972704796">
      <w:bodyDiv w:val="1"/>
      <w:marLeft w:val="0"/>
      <w:marRight w:val="0"/>
      <w:marTop w:val="0"/>
      <w:marBottom w:val="0"/>
      <w:divBdr>
        <w:top w:val="none" w:sz="0" w:space="0" w:color="auto"/>
        <w:left w:val="none" w:sz="0" w:space="0" w:color="auto"/>
        <w:bottom w:val="none" w:sz="0" w:space="0" w:color="auto"/>
        <w:right w:val="none" w:sz="0" w:space="0" w:color="auto"/>
      </w:divBdr>
    </w:div>
    <w:div w:id="20907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Wilhide</dc:creator>
  <cp:lastModifiedBy>Prince Koomson</cp:lastModifiedBy>
  <cp:revision>2</cp:revision>
  <dcterms:created xsi:type="dcterms:W3CDTF">2019-04-16T21:47:00Z</dcterms:created>
  <dcterms:modified xsi:type="dcterms:W3CDTF">2019-04-16T21:47:00Z</dcterms:modified>
</cp:coreProperties>
</file>