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30" w:rsidRDefault="00ED4430" w:rsidP="00ED4430">
      <w:pPr>
        <w:spacing w:after="0" w:line="240" w:lineRule="auto"/>
        <w:rPr>
          <w:rFonts w:ascii="Helvetica" w:eastAsia="Times New Roman" w:hAnsi="Helvetica" w:cs="Helvetica"/>
          <w:b/>
          <w:bCs/>
          <w:color w:val="3D3D3D"/>
          <w:sz w:val="21"/>
          <w:szCs w:val="21"/>
          <w:bdr w:val="none" w:sz="0" w:space="0" w:color="auto" w:frame="1"/>
          <w:lang w:eastAsia="en-GB"/>
        </w:rPr>
      </w:pPr>
      <w:r>
        <w:rPr>
          <w:rFonts w:ascii="Helvetica" w:eastAsia="Times New Roman" w:hAnsi="Helvetica" w:cs="Helvetica"/>
          <w:b/>
          <w:bCs/>
          <w:color w:val="3D3D3D"/>
          <w:sz w:val="21"/>
          <w:szCs w:val="21"/>
          <w:bdr w:val="none" w:sz="0" w:space="0" w:color="auto" w:frame="1"/>
          <w:lang w:eastAsia="en-GB"/>
        </w:rPr>
        <w:t>Solution for #1</w:t>
      </w:r>
    </w:p>
    <w:p w:rsidR="00ED4430" w:rsidRPr="00ED4430" w:rsidRDefault="00ED4430" w:rsidP="00ED4430">
      <w:pPr>
        <w:spacing w:after="0" w:line="240" w:lineRule="auto"/>
        <w:rPr>
          <w:rFonts w:ascii="Times New Roman" w:eastAsia="Times New Roman" w:hAnsi="Times New Roman" w:cs="Times New Roman"/>
          <w:sz w:val="24"/>
          <w:szCs w:val="24"/>
          <w:lang w:eastAsia="en-GB"/>
        </w:rPr>
      </w:pPr>
      <w:r w:rsidRPr="00ED4430">
        <w:rPr>
          <w:rFonts w:ascii="Helvetica" w:eastAsia="Times New Roman" w:hAnsi="Helvetica" w:cs="Helvetica"/>
          <w:b/>
          <w:bCs/>
          <w:color w:val="3D3D3D"/>
          <w:sz w:val="21"/>
          <w:szCs w:val="21"/>
          <w:bdr w:val="none" w:sz="0" w:space="0" w:color="auto" w:frame="1"/>
          <w:lang w:eastAsia="en-GB"/>
        </w:rPr>
        <w:t>Explanation:</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i/>
          <w:iCs/>
          <w:color w:val="3D3D3D"/>
          <w:sz w:val="21"/>
          <w:szCs w:val="21"/>
          <w:u w:val="single"/>
          <w:bdr w:val="none" w:sz="0" w:space="0" w:color="auto" w:frame="1"/>
          <w:lang w:eastAsia="en-GB"/>
        </w:rPr>
        <w:t>How property laws have evolved to benefit both society and business</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color w:val="3D3D3D"/>
          <w:sz w:val="21"/>
          <w:szCs w:val="21"/>
          <w:bdr w:val="none" w:sz="0" w:space="0" w:color="auto" w:frame="1"/>
          <w:lang w:eastAsia="en-GB"/>
        </w:rPr>
        <w:t>Property laws</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Helvetica" w:eastAsia="Times New Roman" w:hAnsi="Helvetica" w:cs="Helvetica"/>
          <w:color w:val="3D3D3D"/>
          <w:sz w:val="21"/>
          <w:szCs w:val="21"/>
          <w:lang w:eastAsia="en-GB"/>
        </w:rPr>
        <w:t xml:space="preserve">They refer to the theoretical and legal ownership of certain goods by people and the capability to find out how the goods are utilized. Actually, in the current electronic globe a business’s property law is sometimes its greatest asset thus a lot of time and money are accumulated thus frustration and legal actions avoided when the business strategy states ownership and application of property law and the arrival of the Internet changed the manner in which information is disseminated among individuals and number of </w:t>
      </w:r>
      <w:proofErr w:type="spellStart"/>
      <w:r w:rsidRPr="00ED4430">
        <w:rPr>
          <w:rFonts w:ascii="Helvetica" w:eastAsia="Times New Roman" w:hAnsi="Helvetica" w:cs="Helvetica"/>
          <w:color w:val="3D3D3D"/>
          <w:sz w:val="21"/>
          <w:szCs w:val="21"/>
          <w:lang w:eastAsia="en-GB"/>
        </w:rPr>
        <w:t>equipments</w:t>
      </w:r>
      <w:proofErr w:type="spellEnd"/>
      <w:r w:rsidRPr="00ED4430">
        <w:rPr>
          <w:rFonts w:ascii="Helvetica" w:eastAsia="Times New Roman" w:hAnsi="Helvetica" w:cs="Helvetica"/>
          <w:color w:val="3D3D3D"/>
          <w:sz w:val="21"/>
          <w:szCs w:val="21"/>
          <w:lang w:eastAsia="en-GB"/>
        </w:rPr>
        <w:t xml:space="preserve"> that have undergone change in perceptions on fast access to information as the Internet has</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i/>
          <w:iCs/>
          <w:color w:val="3D3D3D"/>
          <w:sz w:val="21"/>
          <w:szCs w:val="21"/>
          <w:u w:val="single"/>
          <w:bdr w:val="none" w:sz="0" w:space="0" w:color="auto" w:frame="1"/>
          <w:lang w:eastAsia="en-GB"/>
        </w:rPr>
        <w:t>Hierarchy of the sources of law and the concept of stare decisis</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color w:val="3D3D3D"/>
          <w:sz w:val="21"/>
          <w:szCs w:val="21"/>
          <w:bdr w:val="none" w:sz="0" w:space="0" w:color="auto" w:frame="1"/>
          <w:lang w:eastAsia="en-GB"/>
        </w:rPr>
        <w:t>The Supreme Court of Canada</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Helvetica" w:eastAsia="Times New Roman" w:hAnsi="Helvetica" w:cs="Helvetica"/>
          <w:color w:val="3D3D3D"/>
          <w:sz w:val="21"/>
          <w:szCs w:val="21"/>
          <w:lang w:eastAsia="en-GB"/>
        </w:rPr>
        <w:t>It is not hurdled to pursue its own earlier decisions and the decisions of the Privy Council</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color w:val="3D3D3D"/>
          <w:sz w:val="21"/>
          <w:szCs w:val="21"/>
          <w:bdr w:val="none" w:sz="0" w:space="0" w:color="auto" w:frame="1"/>
          <w:lang w:eastAsia="en-GB"/>
        </w:rPr>
        <w:t>The Ontario Court of Appeal</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Helvetica" w:eastAsia="Times New Roman" w:hAnsi="Helvetica" w:cs="Helvetica"/>
          <w:color w:val="3D3D3D"/>
          <w:sz w:val="21"/>
          <w:szCs w:val="21"/>
          <w:lang w:eastAsia="en-GB"/>
        </w:rPr>
        <w:t>This is not hurdled to adhere to a judgment of the appellate court of a different province</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color w:val="3D3D3D"/>
          <w:sz w:val="21"/>
          <w:szCs w:val="21"/>
          <w:bdr w:val="none" w:sz="0" w:space="0" w:color="auto" w:frame="1"/>
          <w:lang w:eastAsia="en-GB"/>
        </w:rPr>
        <w:t>Ontario provincial courts</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Helvetica" w:eastAsia="Times New Roman" w:hAnsi="Helvetica" w:cs="Helvetica"/>
          <w:color w:val="3D3D3D"/>
          <w:sz w:val="21"/>
          <w:szCs w:val="21"/>
          <w:lang w:eastAsia="en-GB"/>
        </w:rPr>
        <w:t>These are lower as compared to the Court of Appeal and are not hurdled to pursue a verdict of the Ontario Court of Appeal</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inherit" w:eastAsia="Times New Roman" w:hAnsi="inherit" w:cs="Helvetica"/>
          <w:b/>
          <w:bCs/>
          <w:color w:val="3D3D3D"/>
          <w:sz w:val="21"/>
          <w:szCs w:val="21"/>
          <w:bdr w:val="none" w:sz="0" w:space="0" w:color="auto" w:frame="1"/>
          <w:lang w:eastAsia="en-GB"/>
        </w:rPr>
        <w:t>A decision of a court of co-ordinate jurisdiction</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Helvetica" w:eastAsia="Times New Roman" w:hAnsi="Helvetica" w:cs="Helvetica"/>
          <w:color w:val="3D3D3D"/>
          <w:sz w:val="21"/>
          <w:szCs w:val="21"/>
          <w:lang w:eastAsia="en-GB"/>
        </w:rPr>
        <w:t>It is not obligatory though in case of a conflict it is suitable to submit the case to the Court of Appeal</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p>
    <w:p w:rsid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sidRPr="00ED4430">
        <w:rPr>
          <w:rFonts w:ascii="Helvetica" w:eastAsia="Times New Roman" w:hAnsi="Helvetica" w:cs="Helvetica"/>
          <w:color w:val="3D3D3D"/>
          <w:sz w:val="21"/>
          <w:szCs w:val="21"/>
          <w:lang w:eastAsia="en-GB"/>
        </w:rPr>
        <w:t>The doctrine of stare decisis illustrates that courts appear to precedent the same matters to aid the decisions thus the prior decisions are referred to as </w:t>
      </w:r>
      <w:r w:rsidRPr="00ED4430">
        <w:rPr>
          <w:rFonts w:ascii="inherit" w:eastAsia="Times New Roman" w:hAnsi="inherit" w:cs="Helvetica"/>
          <w:b/>
          <w:bCs/>
          <w:color w:val="3D3D3D"/>
          <w:sz w:val="21"/>
          <w:szCs w:val="21"/>
          <w:bdr w:val="none" w:sz="0" w:space="0" w:color="auto" w:frame="1"/>
          <w:lang w:eastAsia="en-GB"/>
        </w:rPr>
        <w:t>precedent</w:t>
      </w:r>
      <w:r w:rsidRPr="00ED4430">
        <w:rPr>
          <w:rFonts w:ascii="Helvetica" w:eastAsia="Times New Roman" w:hAnsi="Helvetica" w:cs="Helvetica"/>
          <w:color w:val="3D3D3D"/>
          <w:sz w:val="21"/>
          <w:szCs w:val="21"/>
          <w:lang w:eastAsia="en-GB"/>
        </w:rPr>
        <w:t> where it is a legal code or statute which is formed by a court decision</w:t>
      </w:r>
    </w:p>
    <w:p w:rsidR="00ED4430" w:rsidRDefault="00ED4430" w:rsidP="00ED4430">
      <w:pPr>
        <w:spacing w:after="0" w:line="240" w:lineRule="auto"/>
        <w:textAlignment w:val="baseline"/>
        <w:rPr>
          <w:rFonts w:ascii="Helvetica" w:eastAsia="Times New Roman" w:hAnsi="Helvetica" w:cs="Helvetica"/>
          <w:color w:val="3D3D3D"/>
          <w:sz w:val="21"/>
          <w:szCs w:val="21"/>
          <w:lang w:eastAsia="en-GB"/>
        </w:rPr>
      </w:pPr>
    </w:p>
    <w:p w:rsidR="00ED4430" w:rsidRDefault="00ED4430" w:rsidP="00ED4430">
      <w:pPr>
        <w:spacing w:after="0" w:line="240" w:lineRule="auto"/>
        <w:textAlignment w:val="baseline"/>
        <w:rPr>
          <w:rFonts w:ascii="Helvetica" w:eastAsia="Times New Roman" w:hAnsi="Helvetica" w:cs="Helvetica"/>
          <w:color w:val="3D3D3D"/>
          <w:sz w:val="21"/>
          <w:szCs w:val="21"/>
          <w:lang w:eastAsia="en-GB"/>
        </w:rPr>
      </w:pPr>
    </w:p>
    <w:p w:rsidR="00ED4430" w:rsidRDefault="00ED4430" w:rsidP="00ED4430">
      <w:pPr>
        <w:spacing w:after="0" w:line="240" w:lineRule="auto"/>
        <w:textAlignment w:val="baseline"/>
        <w:rPr>
          <w:rFonts w:ascii="Helvetica" w:eastAsia="Times New Roman" w:hAnsi="Helvetica" w:cs="Helvetica"/>
          <w:color w:val="3D3D3D"/>
          <w:sz w:val="21"/>
          <w:szCs w:val="21"/>
          <w:lang w:eastAsia="en-GB"/>
        </w:rPr>
      </w:pPr>
    </w:p>
    <w:p w:rsid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Pr>
          <w:rFonts w:ascii="Helvetica" w:eastAsia="Times New Roman" w:hAnsi="Helvetica" w:cs="Helvetica"/>
          <w:color w:val="3D3D3D"/>
          <w:sz w:val="21"/>
          <w:szCs w:val="21"/>
          <w:lang w:eastAsia="en-GB"/>
        </w:rPr>
        <w:t>#3 solution</w:t>
      </w:r>
    </w:p>
    <w:p w:rsidR="00ED4430" w:rsidRPr="00ED4430" w:rsidRDefault="00ED4430" w:rsidP="00ED4430">
      <w:pPr>
        <w:spacing w:after="0" w:line="240" w:lineRule="auto"/>
        <w:textAlignment w:val="baseline"/>
        <w:rPr>
          <w:rFonts w:ascii="Helvetica" w:eastAsia="Times New Roman" w:hAnsi="Helvetica" w:cs="Helvetica"/>
          <w:color w:val="3D3D3D"/>
          <w:sz w:val="21"/>
          <w:szCs w:val="21"/>
          <w:lang w:eastAsia="en-GB"/>
        </w:rPr>
      </w:pPr>
      <w:r>
        <w:rPr>
          <w:rFonts w:ascii="Helvetica" w:hAnsi="Helvetica" w:cs="Helvetica"/>
          <w:color w:val="3D3D3D"/>
          <w:sz w:val="21"/>
          <w:szCs w:val="21"/>
        </w:rPr>
        <w:t xml:space="preserve">Through the establishment of principles of ethics which guide and regulate </w:t>
      </w:r>
      <w:proofErr w:type="spellStart"/>
      <w:r>
        <w:rPr>
          <w:rFonts w:ascii="Helvetica" w:hAnsi="Helvetica" w:cs="Helvetica"/>
          <w:color w:val="3D3D3D"/>
          <w:sz w:val="21"/>
          <w:szCs w:val="21"/>
        </w:rPr>
        <w:t>behavior</w:t>
      </w:r>
      <w:proofErr w:type="spellEnd"/>
      <w:r>
        <w:rPr>
          <w:rFonts w:ascii="Helvetica" w:hAnsi="Helvetica" w:cs="Helvetica"/>
          <w:color w:val="3D3D3D"/>
          <w:sz w:val="21"/>
          <w:szCs w:val="21"/>
        </w:rPr>
        <w:t xml:space="preserve"> within the society. This clearly outlines what is expected of each individual and enables for embracing changes </w:t>
      </w:r>
      <w:proofErr w:type="spellStart"/>
      <w:r>
        <w:rPr>
          <w:rFonts w:ascii="Helvetica" w:hAnsi="Helvetica" w:cs="Helvetica"/>
          <w:color w:val="3D3D3D"/>
          <w:sz w:val="21"/>
          <w:szCs w:val="21"/>
        </w:rPr>
        <w:t>occuring</w:t>
      </w:r>
      <w:proofErr w:type="spellEnd"/>
      <w:r>
        <w:rPr>
          <w:rFonts w:ascii="Helvetica" w:hAnsi="Helvetica" w:cs="Helvetica"/>
          <w:color w:val="3D3D3D"/>
          <w:sz w:val="21"/>
          <w:szCs w:val="21"/>
        </w:rPr>
        <w:t xml:space="preserve"> which are meant to bring a better </w:t>
      </w:r>
      <w:proofErr w:type="spellStart"/>
      <w:r>
        <w:rPr>
          <w:rFonts w:ascii="Helvetica" w:hAnsi="Helvetica" w:cs="Helvetica"/>
          <w:color w:val="3D3D3D"/>
          <w:sz w:val="21"/>
          <w:szCs w:val="21"/>
        </w:rPr>
        <w:t>tommorow</w:t>
      </w:r>
      <w:proofErr w:type="spellEnd"/>
      <w:r>
        <w:rPr>
          <w:rFonts w:ascii="Helvetica" w:hAnsi="Helvetica" w:cs="Helvetica"/>
          <w:color w:val="3D3D3D"/>
          <w:sz w:val="21"/>
          <w:szCs w:val="21"/>
        </w:rPr>
        <w:t xml:space="preserve">. Increasing economic </w:t>
      </w:r>
      <w:proofErr w:type="spellStart"/>
      <w:r>
        <w:rPr>
          <w:rFonts w:ascii="Helvetica" w:hAnsi="Helvetica" w:cs="Helvetica"/>
          <w:color w:val="3D3D3D"/>
          <w:sz w:val="21"/>
          <w:szCs w:val="21"/>
        </w:rPr>
        <w:t>interdepenence</w:t>
      </w:r>
      <w:proofErr w:type="spellEnd"/>
      <w:r>
        <w:rPr>
          <w:rFonts w:ascii="Helvetica" w:hAnsi="Helvetica" w:cs="Helvetica"/>
          <w:color w:val="3D3D3D"/>
          <w:sz w:val="21"/>
          <w:szCs w:val="21"/>
        </w:rPr>
        <w:t xml:space="preserve"> has enhanced for trade which is giving good understanding of each other culture value through interactions thus respecting each other ethics. Ethical is something that is morally right while legal is something that has been passed by a certain law or people whether right or wrong. Ethical is guided by morals while legal by the law. Ethical differentiate something good or </w:t>
      </w:r>
      <w:proofErr w:type="spellStart"/>
      <w:r>
        <w:rPr>
          <w:rFonts w:ascii="Helvetica" w:hAnsi="Helvetica" w:cs="Helvetica"/>
          <w:color w:val="3D3D3D"/>
          <w:sz w:val="21"/>
          <w:szCs w:val="21"/>
        </w:rPr>
        <w:t>evil</w:t>
      </w:r>
      <w:proofErr w:type="gramStart"/>
      <w:r>
        <w:rPr>
          <w:rFonts w:ascii="Helvetica" w:hAnsi="Helvetica" w:cs="Helvetica"/>
          <w:color w:val="3D3D3D"/>
          <w:sz w:val="21"/>
          <w:szCs w:val="21"/>
        </w:rPr>
        <w:t>,right</w:t>
      </w:r>
      <w:proofErr w:type="spellEnd"/>
      <w:proofErr w:type="gramEnd"/>
      <w:r>
        <w:rPr>
          <w:rFonts w:ascii="Helvetica" w:hAnsi="Helvetica" w:cs="Helvetica"/>
          <w:color w:val="3D3D3D"/>
          <w:sz w:val="21"/>
          <w:szCs w:val="21"/>
        </w:rPr>
        <w:t xml:space="preserve"> or wrong while legal only give what has been legalized whether good or evil. They affect the business in ways such as ethical </w:t>
      </w:r>
      <w:proofErr w:type="spellStart"/>
      <w:r>
        <w:rPr>
          <w:rFonts w:ascii="Helvetica" w:hAnsi="Helvetica" w:cs="Helvetica"/>
          <w:color w:val="3D3D3D"/>
          <w:sz w:val="21"/>
          <w:szCs w:val="21"/>
        </w:rPr>
        <w:t>behavior</w:t>
      </w:r>
      <w:proofErr w:type="spellEnd"/>
      <w:r>
        <w:rPr>
          <w:rFonts w:ascii="Helvetica" w:hAnsi="Helvetica" w:cs="Helvetica"/>
          <w:color w:val="3D3D3D"/>
          <w:sz w:val="21"/>
          <w:szCs w:val="21"/>
        </w:rPr>
        <w:t xml:space="preserve"> for a profit oriented business tend to be focused on what is moral while for legal </w:t>
      </w:r>
      <w:proofErr w:type="spellStart"/>
      <w:r>
        <w:rPr>
          <w:rFonts w:ascii="Helvetica" w:hAnsi="Helvetica" w:cs="Helvetica"/>
          <w:color w:val="3D3D3D"/>
          <w:sz w:val="21"/>
          <w:szCs w:val="21"/>
        </w:rPr>
        <w:t>behvior</w:t>
      </w:r>
      <w:proofErr w:type="spellEnd"/>
      <w:r>
        <w:rPr>
          <w:rFonts w:ascii="Helvetica" w:hAnsi="Helvetica" w:cs="Helvetica"/>
          <w:color w:val="3D3D3D"/>
          <w:sz w:val="21"/>
          <w:szCs w:val="21"/>
        </w:rPr>
        <w:t xml:space="preserve"> only what has been legalized by the law thus each has varying effects towards profit.</w:t>
      </w:r>
      <w:bookmarkStart w:id="0" w:name="_GoBack"/>
      <w:bookmarkEnd w:id="0"/>
    </w:p>
    <w:p w:rsidR="00C9624C" w:rsidRDefault="00C9624C"/>
    <w:sectPr w:rsidR="00C962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30"/>
    <w:rsid w:val="00C9624C"/>
    <w:rsid w:val="00ED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CB567-0E05-46CD-A578-07EE1E0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4430"/>
    <w:rPr>
      <w:b/>
      <w:bCs/>
    </w:rPr>
  </w:style>
  <w:style w:type="paragraph" w:styleId="NormalWeb">
    <w:name w:val="Normal (Web)"/>
    <w:basedOn w:val="Normal"/>
    <w:uiPriority w:val="99"/>
    <w:semiHidden/>
    <w:unhideWhenUsed/>
    <w:rsid w:val="00ED4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D4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0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2018-02-07T10:05:00Z</dcterms:created>
  <dcterms:modified xsi:type="dcterms:W3CDTF">2018-02-07T10:06:00Z</dcterms:modified>
</cp:coreProperties>
</file>