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48F" w:rsidRDefault="00F8348F" w:rsidP="00F8348F">
      <w:pPr>
        <w:spacing w:line="480" w:lineRule="auto"/>
        <w:jc w:val="center"/>
        <w:rPr>
          <w:rFonts w:ascii="Times New Roman" w:hAnsi="Times New Roman" w:cs="Times New Roman"/>
          <w:sz w:val="24"/>
          <w:szCs w:val="24"/>
        </w:rPr>
      </w:pPr>
    </w:p>
    <w:p w:rsidR="00F8348F" w:rsidRDefault="00F8348F" w:rsidP="00F8348F">
      <w:pPr>
        <w:spacing w:line="480" w:lineRule="auto"/>
        <w:jc w:val="center"/>
        <w:rPr>
          <w:rFonts w:ascii="Times New Roman" w:hAnsi="Times New Roman" w:cs="Times New Roman"/>
          <w:sz w:val="24"/>
          <w:szCs w:val="24"/>
        </w:rPr>
      </w:pPr>
    </w:p>
    <w:p w:rsidR="00F8348F" w:rsidRDefault="00F8348F" w:rsidP="00F8348F">
      <w:pPr>
        <w:spacing w:line="480" w:lineRule="auto"/>
        <w:jc w:val="center"/>
        <w:rPr>
          <w:rFonts w:ascii="Times New Roman" w:hAnsi="Times New Roman" w:cs="Times New Roman"/>
          <w:sz w:val="24"/>
          <w:szCs w:val="24"/>
        </w:rPr>
      </w:pPr>
    </w:p>
    <w:p w:rsidR="00F8348F" w:rsidRDefault="00F8348F" w:rsidP="00F8348F">
      <w:pPr>
        <w:spacing w:line="480" w:lineRule="auto"/>
        <w:jc w:val="center"/>
        <w:rPr>
          <w:rFonts w:ascii="Times New Roman" w:hAnsi="Times New Roman" w:cs="Times New Roman"/>
          <w:sz w:val="24"/>
          <w:szCs w:val="24"/>
        </w:rPr>
      </w:pPr>
    </w:p>
    <w:p w:rsidR="00F8348F" w:rsidRDefault="00F8348F" w:rsidP="00F8348F">
      <w:pPr>
        <w:spacing w:line="480" w:lineRule="auto"/>
        <w:jc w:val="center"/>
        <w:rPr>
          <w:rFonts w:ascii="Times New Roman" w:hAnsi="Times New Roman" w:cs="Times New Roman"/>
          <w:sz w:val="24"/>
          <w:szCs w:val="24"/>
        </w:rPr>
      </w:pPr>
    </w:p>
    <w:p w:rsidR="00F8348F" w:rsidRDefault="00F8348F" w:rsidP="00F8348F">
      <w:pPr>
        <w:spacing w:line="480" w:lineRule="auto"/>
        <w:jc w:val="center"/>
        <w:rPr>
          <w:rFonts w:ascii="Times New Roman" w:hAnsi="Times New Roman" w:cs="Times New Roman"/>
          <w:sz w:val="24"/>
          <w:szCs w:val="24"/>
        </w:rPr>
      </w:pPr>
    </w:p>
    <w:p w:rsidR="004238BC" w:rsidRPr="004238BC" w:rsidRDefault="00D92181" w:rsidP="004238BC">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To Investigate the Correlation </w:t>
      </w:r>
      <w:r w:rsidR="006E729A">
        <w:rPr>
          <w:rFonts w:ascii="Times New Roman" w:hAnsi="Times New Roman" w:cs="Times New Roman"/>
          <w:sz w:val="24"/>
          <w:szCs w:val="24"/>
        </w:rPr>
        <w:t>between</w:t>
      </w:r>
      <w:r>
        <w:rPr>
          <w:rFonts w:ascii="Times New Roman" w:hAnsi="Times New Roman" w:cs="Times New Roman"/>
          <w:sz w:val="24"/>
          <w:szCs w:val="24"/>
        </w:rPr>
        <w:t xml:space="preserve"> BPA</w:t>
      </w:r>
      <w:r w:rsidRPr="004238BC">
        <w:rPr>
          <w:rFonts w:ascii="Times New Roman" w:hAnsi="Times New Roman" w:cs="Times New Roman"/>
          <w:sz w:val="24"/>
          <w:szCs w:val="24"/>
        </w:rPr>
        <w:t xml:space="preserve"> Chemicals </w:t>
      </w:r>
      <w:r w:rsidR="006E729A" w:rsidRPr="004238BC">
        <w:rPr>
          <w:rFonts w:ascii="Times New Roman" w:hAnsi="Times New Roman" w:cs="Times New Roman"/>
          <w:sz w:val="24"/>
          <w:szCs w:val="24"/>
        </w:rPr>
        <w:t>and</w:t>
      </w:r>
      <w:r w:rsidRPr="004238BC">
        <w:rPr>
          <w:rFonts w:ascii="Times New Roman" w:hAnsi="Times New Roman" w:cs="Times New Roman"/>
          <w:sz w:val="24"/>
          <w:szCs w:val="24"/>
        </w:rPr>
        <w:t xml:space="preserve"> Obesity </w:t>
      </w:r>
      <w:r w:rsidR="006E729A" w:rsidRPr="004238BC">
        <w:rPr>
          <w:rFonts w:ascii="Times New Roman" w:hAnsi="Times New Roman" w:cs="Times New Roman"/>
          <w:sz w:val="24"/>
          <w:szCs w:val="24"/>
        </w:rPr>
        <w:t>among</w:t>
      </w:r>
      <w:r w:rsidRPr="004238BC">
        <w:rPr>
          <w:rFonts w:ascii="Times New Roman" w:hAnsi="Times New Roman" w:cs="Times New Roman"/>
          <w:sz w:val="24"/>
          <w:szCs w:val="24"/>
        </w:rPr>
        <w:t xml:space="preserve"> Humans</w:t>
      </w:r>
    </w:p>
    <w:p w:rsidR="005260EF" w:rsidRDefault="002144FF" w:rsidP="002144FF">
      <w:pPr>
        <w:tabs>
          <w:tab w:val="left" w:pos="3120"/>
          <w:tab w:val="center" w:pos="4680"/>
        </w:tabs>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260EF">
        <w:rPr>
          <w:rFonts w:ascii="Times New Roman" w:hAnsi="Times New Roman" w:cs="Times New Roman"/>
          <w:sz w:val="24"/>
          <w:szCs w:val="24"/>
        </w:rPr>
        <w:t>By</w:t>
      </w:r>
    </w:p>
    <w:p w:rsidR="00F8348F" w:rsidRDefault="00F8348F" w:rsidP="00F8348F">
      <w:pPr>
        <w:spacing w:line="480" w:lineRule="auto"/>
        <w:jc w:val="center"/>
        <w:rPr>
          <w:rFonts w:ascii="Times New Roman" w:hAnsi="Times New Roman" w:cs="Times New Roman"/>
          <w:sz w:val="24"/>
          <w:szCs w:val="24"/>
        </w:rPr>
      </w:pPr>
    </w:p>
    <w:p w:rsidR="00F8348F" w:rsidRDefault="00F8348F" w:rsidP="00F8348F">
      <w:pPr>
        <w:spacing w:line="480" w:lineRule="auto"/>
        <w:jc w:val="center"/>
        <w:rPr>
          <w:rFonts w:ascii="Times New Roman" w:hAnsi="Times New Roman" w:cs="Times New Roman"/>
          <w:sz w:val="24"/>
          <w:szCs w:val="24"/>
        </w:rPr>
      </w:pPr>
    </w:p>
    <w:p w:rsidR="00F8348F" w:rsidRDefault="00F8348F" w:rsidP="00F8348F">
      <w:pPr>
        <w:spacing w:line="480" w:lineRule="auto"/>
        <w:jc w:val="center"/>
        <w:rPr>
          <w:rFonts w:ascii="Times New Roman" w:hAnsi="Times New Roman" w:cs="Times New Roman"/>
          <w:sz w:val="24"/>
          <w:szCs w:val="24"/>
        </w:rPr>
      </w:pPr>
    </w:p>
    <w:p w:rsidR="00F8348F" w:rsidRDefault="00F8348F" w:rsidP="00F8348F">
      <w:pPr>
        <w:spacing w:line="480" w:lineRule="auto"/>
        <w:jc w:val="center"/>
        <w:rPr>
          <w:rFonts w:ascii="Times New Roman" w:hAnsi="Times New Roman" w:cs="Times New Roman"/>
          <w:sz w:val="24"/>
          <w:szCs w:val="24"/>
        </w:rPr>
      </w:pPr>
    </w:p>
    <w:p w:rsidR="00F8348F" w:rsidRDefault="00F8348F" w:rsidP="00F8348F">
      <w:pPr>
        <w:spacing w:line="480" w:lineRule="auto"/>
        <w:jc w:val="center"/>
        <w:rPr>
          <w:rFonts w:ascii="Times New Roman" w:hAnsi="Times New Roman" w:cs="Times New Roman"/>
          <w:sz w:val="24"/>
          <w:szCs w:val="24"/>
        </w:rPr>
      </w:pPr>
    </w:p>
    <w:p w:rsidR="00F8348F" w:rsidRDefault="00F8348F" w:rsidP="00F8348F">
      <w:pPr>
        <w:spacing w:line="480" w:lineRule="auto"/>
        <w:jc w:val="center"/>
        <w:rPr>
          <w:rFonts w:ascii="Times New Roman" w:hAnsi="Times New Roman" w:cs="Times New Roman"/>
          <w:sz w:val="24"/>
          <w:szCs w:val="24"/>
        </w:rPr>
      </w:pPr>
    </w:p>
    <w:p w:rsidR="00F8348F" w:rsidRDefault="00F8348F" w:rsidP="00F8348F">
      <w:pPr>
        <w:spacing w:line="480" w:lineRule="auto"/>
        <w:rPr>
          <w:rFonts w:ascii="Times New Roman" w:hAnsi="Times New Roman" w:cs="Times New Roman"/>
          <w:sz w:val="24"/>
          <w:szCs w:val="24"/>
        </w:rPr>
      </w:pPr>
    </w:p>
    <w:p w:rsidR="007771B6" w:rsidRDefault="007771B6" w:rsidP="004238BC">
      <w:pPr>
        <w:spacing w:line="480" w:lineRule="auto"/>
        <w:jc w:val="center"/>
        <w:rPr>
          <w:rFonts w:ascii="Times New Roman" w:hAnsi="Times New Roman" w:cs="Times New Roman"/>
          <w:sz w:val="24"/>
          <w:szCs w:val="24"/>
        </w:rPr>
      </w:pPr>
    </w:p>
    <w:p w:rsidR="007771B6" w:rsidRDefault="007771B6" w:rsidP="004238BC">
      <w:pPr>
        <w:spacing w:line="480" w:lineRule="auto"/>
        <w:jc w:val="center"/>
        <w:rPr>
          <w:rFonts w:ascii="Times New Roman" w:hAnsi="Times New Roman" w:cs="Times New Roman"/>
          <w:sz w:val="24"/>
          <w:szCs w:val="24"/>
        </w:rPr>
      </w:pPr>
    </w:p>
    <w:p w:rsidR="004238BC" w:rsidRPr="001E166E" w:rsidRDefault="004238BC" w:rsidP="004238BC">
      <w:pPr>
        <w:spacing w:line="480" w:lineRule="auto"/>
        <w:jc w:val="center"/>
        <w:rPr>
          <w:rFonts w:ascii="Times New Roman" w:hAnsi="Times New Roman" w:cs="Times New Roman"/>
          <w:sz w:val="24"/>
          <w:szCs w:val="24"/>
        </w:rPr>
      </w:pPr>
      <w:r w:rsidRPr="001E166E">
        <w:rPr>
          <w:rFonts w:ascii="Times New Roman" w:hAnsi="Times New Roman" w:cs="Times New Roman"/>
          <w:sz w:val="24"/>
          <w:szCs w:val="24"/>
        </w:rPr>
        <w:lastRenderedPageBreak/>
        <w:t>To investigate the correlation between BPA chemicals and obesity among humans</w:t>
      </w:r>
    </w:p>
    <w:p w:rsidR="00F95B93" w:rsidRPr="004E4609" w:rsidRDefault="00F95B93" w:rsidP="00F95B93">
      <w:pPr>
        <w:spacing w:line="480" w:lineRule="auto"/>
        <w:rPr>
          <w:rFonts w:ascii="Times New Roman" w:hAnsi="Times New Roman" w:cs="Times New Roman"/>
          <w:sz w:val="24"/>
          <w:szCs w:val="24"/>
        </w:rPr>
      </w:pPr>
      <w:r w:rsidRPr="004E4609">
        <w:rPr>
          <w:rFonts w:ascii="Times New Roman" w:hAnsi="Times New Roman" w:cs="Times New Roman"/>
          <w:sz w:val="24"/>
          <w:szCs w:val="24"/>
        </w:rPr>
        <w:t>Abstract</w:t>
      </w:r>
    </w:p>
    <w:p w:rsidR="00F95B93" w:rsidRPr="005860B5" w:rsidRDefault="00F95B93" w:rsidP="00F95B93">
      <w:pPr>
        <w:spacing w:line="480" w:lineRule="auto"/>
        <w:ind w:firstLine="720"/>
        <w:rPr>
          <w:rFonts w:ascii="Times New Roman" w:hAnsi="Times New Roman" w:cs="Times New Roman"/>
          <w:i/>
          <w:sz w:val="24"/>
          <w:szCs w:val="24"/>
        </w:rPr>
      </w:pPr>
      <w:r w:rsidRPr="005860B5">
        <w:rPr>
          <w:rFonts w:ascii="Times New Roman" w:hAnsi="Times New Roman" w:cs="Times New Roman"/>
          <w:i/>
          <w:sz w:val="24"/>
          <w:szCs w:val="24"/>
        </w:rPr>
        <w:t>Bisphenol A (BPA) is one of the most produced chemicals delivered around the world, with more than six billion pounds created every year. It was fundamentally utilized for the generation of epoxy resins and polycarbonate plastics. Epoxy resins are frequently employed as surface polish coatings, and polycarbonate plastics are used as a part of conservative plate producing, family machines, and food bundling and plastic jugs among others. Since monomers stay after BPA polymerization, BPA particles can be filtered from those items into food. The far-reaching ramifications of BPA have been very much recorded. The basic course of human exposure to BPA is through food and BPA has been recognized in human urine, blood, sweat and tissues, showing that human exposure to BPA is broad. Also, lab inquiries have found that BPA is a regular Endocrine Disturbing Concoction (EDC], and human exposure to BPA has been accounted for to be related to different unfavorable impacts, for example, metabolic and conceptive maladies. There is expanding proof recommending that some endocrine-disturbing chemicals can go about as obesogens and meddle with body's healthy weight control instruments by upsetting fat tissue science, endocrine hormone frameworks, or focal hypothalamic-pituitary-adrenal hub.</w:t>
      </w:r>
    </w:p>
    <w:p w:rsidR="00F95B93" w:rsidRPr="005860B5" w:rsidRDefault="00F95B93" w:rsidP="00F95B93">
      <w:pPr>
        <w:spacing w:line="480" w:lineRule="auto"/>
        <w:ind w:firstLine="720"/>
        <w:rPr>
          <w:rFonts w:ascii="Times New Roman" w:hAnsi="Times New Roman" w:cs="Times New Roman"/>
          <w:i/>
          <w:sz w:val="24"/>
          <w:szCs w:val="24"/>
        </w:rPr>
      </w:pPr>
    </w:p>
    <w:p w:rsidR="00F95B93" w:rsidRPr="005860B5" w:rsidRDefault="00F95B93" w:rsidP="00F95B93">
      <w:pPr>
        <w:spacing w:line="480" w:lineRule="auto"/>
        <w:ind w:firstLine="720"/>
        <w:rPr>
          <w:rFonts w:ascii="Times New Roman" w:hAnsi="Times New Roman" w:cs="Times New Roman"/>
          <w:i/>
          <w:sz w:val="24"/>
          <w:szCs w:val="24"/>
        </w:rPr>
      </w:pPr>
    </w:p>
    <w:p w:rsidR="00F95B93" w:rsidRPr="004E4609" w:rsidRDefault="00F95B93" w:rsidP="00F95B93">
      <w:pPr>
        <w:spacing w:line="480" w:lineRule="auto"/>
        <w:ind w:firstLine="720"/>
        <w:rPr>
          <w:rFonts w:ascii="Times New Roman" w:hAnsi="Times New Roman" w:cs="Times New Roman"/>
          <w:sz w:val="24"/>
          <w:szCs w:val="24"/>
        </w:rPr>
      </w:pPr>
    </w:p>
    <w:p w:rsidR="00F95B93" w:rsidRPr="004E4609" w:rsidRDefault="00F95B93" w:rsidP="00F95B93">
      <w:pPr>
        <w:spacing w:line="480" w:lineRule="auto"/>
        <w:rPr>
          <w:rFonts w:ascii="Times New Roman" w:hAnsi="Times New Roman" w:cs="Times New Roman"/>
          <w:sz w:val="24"/>
          <w:szCs w:val="24"/>
        </w:rPr>
      </w:pPr>
    </w:p>
    <w:p w:rsidR="00F95B93" w:rsidRPr="005860B5" w:rsidRDefault="00F95B93" w:rsidP="00F95B93">
      <w:pPr>
        <w:spacing w:line="480" w:lineRule="auto"/>
        <w:rPr>
          <w:rFonts w:ascii="Times New Roman" w:hAnsi="Times New Roman" w:cs="Times New Roman"/>
          <w:b/>
          <w:sz w:val="24"/>
          <w:szCs w:val="24"/>
        </w:rPr>
      </w:pPr>
      <w:r w:rsidRPr="005860B5">
        <w:rPr>
          <w:rFonts w:ascii="Times New Roman" w:hAnsi="Times New Roman" w:cs="Times New Roman"/>
          <w:b/>
          <w:sz w:val="24"/>
          <w:szCs w:val="24"/>
        </w:rPr>
        <w:lastRenderedPageBreak/>
        <w:t>Literature Review</w:t>
      </w:r>
    </w:p>
    <w:p w:rsidR="00F95B93" w:rsidRDefault="00F95B93" w:rsidP="00F95B93">
      <w:pPr>
        <w:spacing w:line="480" w:lineRule="auto"/>
        <w:ind w:firstLine="720"/>
        <w:rPr>
          <w:rFonts w:ascii="Times New Roman" w:hAnsi="Times New Roman" w:cs="Times New Roman"/>
          <w:sz w:val="24"/>
          <w:szCs w:val="24"/>
        </w:rPr>
      </w:pPr>
      <w:r w:rsidRPr="004E4609">
        <w:rPr>
          <w:rFonts w:ascii="Times New Roman" w:hAnsi="Times New Roman" w:cs="Times New Roman"/>
          <w:sz w:val="24"/>
          <w:szCs w:val="24"/>
        </w:rPr>
        <w:t>Before 2010, many investigations of consumer items distinguished causes of human BPA exposures including canned foods, plastics, dental sealants, and food wrapping papers (Vandenberg et al., 2007). From that point forward, extra reviews have performed definite investigations o</w:t>
      </w:r>
      <w:r>
        <w:rPr>
          <w:rFonts w:ascii="Times New Roman" w:hAnsi="Times New Roman" w:cs="Times New Roman"/>
          <w:sz w:val="24"/>
          <w:szCs w:val="24"/>
        </w:rPr>
        <w:t>f canned food</w:t>
      </w:r>
      <w:r w:rsidRPr="004E4609">
        <w:rPr>
          <w:rFonts w:ascii="Times New Roman" w:hAnsi="Times New Roman" w:cs="Times New Roman"/>
          <w:sz w:val="24"/>
          <w:szCs w:val="24"/>
        </w:rPr>
        <w:t>, receipts and other warm among others. Significantly, all sources of human causes are not yet distinguished, and debate stays over which sources the most are astounding in contributing to everyday BPA consumption. There is proof food wrapping is a noteworthy source of BPA presentation. In an investigation of pregnant ladies, utilization of canned vegetables yet not new natural products or vegetables or canned organic product was related with higher urinary BPA levels</w:t>
      </w:r>
      <w:r>
        <w:rPr>
          <w:rFonts w:ascii="Times New Roman" w:hAnsi="Times New Roman" w:cs="Times New Roman"/>
          <w:sz w:val="24"/>
          <w:szCs w:val="24"/>
        </w:rPr>
        <w:t xml:space="preserve"> ( Carafat et al, 2008)</w:t>
      </w:r>
      <w:r w:rsidRPr="004E4609">
        <w:rPr>
          <w:rFonts w:ascii="Times New Roman" w:hAnsi="Times New Roman" w:cs="Times New Roman"/>
          <w:sz w:val="24"/>
          <w:szCs w:val="24"/>
        </w:rPr>
        <w:t xml:space="preserve">. These discoveries are predictable with evaluations that canned vegetables contribute 10-40% of day by day BPA consumption. </w:t>
      </w:r>
    </w:p>
    <w:p w:rsidR="00F95B93" w:rsidRDefault="00F95B93" w:rsidP="00F95B93">
      <w:pPr>
        <w:spacing w:line="480" w:lineRule="auto"/>
        <w:ind w:firstLine="720"/>
        <w:rPr>
          <w:rFonts w:ascii="Times New Roman" w:hAnsi="Times New Roman" w:cs="Times New Roman"/>
          <w:sz w:val="24"/>
          <w:szCs w:val="24"/>
        </w:rPr>
      </w:pPr>
      <w:r w:rsidRPr="004E4609">
        <w:rPr>
          <w:rFonts w:ascii="Times New Roman" w:hAnsi="Times New Roman" w:cs="Times New Roman"/>
          <w:sz w:val="24"/>
          <w:szCs w:val="24"/>
        </w:rPr>
        <w:t>A review illustrative of the general US populace found that increased utilization of soda, school snacks, and dinners not set up at home was prescient of higher urinary levels of BPA. These factors were inspected especially as it was theorized that food items from outside the house were more probable to be wrapped in contact with BPA. Research performed at the US CDC have indicated an age-related relationship with BPA exposures, where more youthful people regularly have more amounts of BPA in their bodies on more seasoned people. Comparative outcomes have additionally been revealed in population-based reviews from Canada. Maybe most concerning is a current examination of the impacts of age and nation of habitation on BPA presentation levels; BPA focuses were higher in each age assemble analyzed in US occupants contrasted with Canadian, Chinese and Germ</w:t>
      </w:r>
      <w:r>
        <w:rPr>
          <w:rFonts w:ascii="Times New Roman" w:hAnsi="Times New Roman" w:cs="Times New Roman"/>
          <w:sz w:val="24"/>
          <w:szCs w:val="24"/>
        </w:rPr>
        <w:t>an inhabitants (Vandenberg, 2009</w:t>
      </w:r>
      <w:r w:rsidRPr="004E4609">
        <w:rPr>
          <w:rFonts w:ascii="Times New Roman" w:hAnsi="Times New Roman" w:cs="Times New Roman"/>
          <w:sz w:val="24"/>
          <w:szCs w:val="24"/>
        </w:rPr>
        <w:t xml:space="preserve">). These outcomes might be characteristic of different early sources, and also contrasts in buyer propensities, among Americans contrasted with different regions. </w:t>
      </w:r>
    </w:p>
    <w:p w:rsidR="00F95B93" w:rsidRPr="004E4609" w:rsidRDefault="00F95B93" w:rsidP="00F95B93">
      <w:pPr>
        <w:spacing w:line="480" w:lineRule="auto"/>
        <w:ind w:firstLine="720"/>
        <w:rPr>
          <w:rFonts w:ascii="Times New Roman" w:hAnsi="Times New Roman" w:cs="Times New Roman"/>
          <w:sz w:val="24"/>
          <w:szCs w:val="24"/>
        </w:rPr>
      </w:pPr>
      <w:r w:rsidRPr="004E4609">
        <w:rPr>
          <w:rFonts w:ascii="Times New Roman" w:hAnsi="Times New Roman" w:cs="Times New Roman"/>
          <w:sz w:val="24"/>
          <w:szCs w:val="24"/>
        </w:rPr>
        <w:lastRenderedPageBreak/>
        <w:t>Two reviews have analyzed the impacts of controlling exposure to canned food on urinary BPA levels. In a randomized traverse test, grown-ups ate fresh or canned soup for five days, after which treatment assignments were turned around. Utilization of canned soup adjusted urinary BPA levels by more than 1000% notwithstanding whether can soup was eaten first or second in the treatment task</w:t>
      </w:r>
      <w:r>
        <w:rPr>
          <w:rFonts w:ascii="Times New Roman" w:hAnsi="Times New Roman" w:cs="Times New Roman"/>
          <w:sz w:val="24"/>
          <w:szCs w:val="24"/>
        </w:rPr>
        <w:t xml:space="preserve"> (Ritcher et al, 2007)</w:t>
      </w:r>
      <w:r w:rsidRPr="004E4609">
        <w:rPr>
          <w:rFonts w:ascii="Times New Roman" w:hAnsi="Times New Roman" w:cs="Times New Roman"/>
          <w:sz w:val="24"/>
          <w:szCs w:val="24"/>
        </w:rPr>
        <w:t>. In the second review looking at the impacts of dietary intercessions, subjects changed from their standard eating routine to one contained new food that was not canned or bundled in plastic; the members then come back to their normal eating routine. BPA levels diminished by 66% with three days of eating crisp nourishment and bounced back 202% with the resumption of the subjects' commonplace eating routine. Since BPA is found in high amounts in warm papers and is exchanged from these papers to skin, non-oral exposures can't be overlooked. Clerks who dealt with BPA-containing receipts had larger amounts of urinary BPA than people who did n</w:t>
      </w:r>
      <w:r>
        <w:rPr>
          <w:rFonts w:ascii="Times New Roman" w:hAnsi="Times New Roman" w:cs="Times New Roman"/>
          <w:sz w:val="24"/>
          <w:szCs w:val="24"/>
        </w:rPr>
        <w:t xml:space="preserve">ot address BPA-containing paper. </w:t>
      </w:r>
      <w:r w:rsidRPr="004E4609">
        <w:rPr>
          <w:rFonts w:ascii="Times New Roman" w:hAnsi="Times New Roman" w:cs="Times New Roman"/>
          <w:sz w:val="24"/>
          <w:szCs w:val="24"/>
        </w:rPr>
        <w:t xml:space="preserve">In an exploratory review, it was additionally discovered that BPA passed openly crosswise over human skin explants and entered </w:t>
      </w:r>
      <w:r>
        <w:rPr>
          <w:rFonts w:ascii="Times New Roman" w:hAnsi="Times New Roman" w:cs="Times New Roman"/>
          <w:sz w:val="24"/>
          <w:szCs w:val="24"/>
        </w:rPr>
        <w:t>the recreated blood circulation.</w:t>
      </w:r>
    </w:p>
    <w:p w:rsidR="00F95B93" w:rsidRPr="004E4609" w:rsidRDefault="00F95B93" w:rsidP="00F95B93">
      <w:pPr>
        <w:spacing w:line="480" w:lineRule="auto"/>
        <w:ind w:firstLine="720"/>
        <w:rPr>
          <w:rFonts w:ascii="Times New Roman" w:hAnsi="Times New Roman" w:cs="Times New Roman"/>
          <w:sz w:val="24"/>
          <w:szCs w:val="24"/>
        </w:rPr>
      </w:pPr>
      <w:r w:rsidRPr="004E4609">
        <w:rPr>
          <w:rFonts w:ascii="Times New Roman" w:hAnsi="Times New Roman" w:cs="Times New Roman"/>
          <w:sz w:val="24"/>
          <w:szCs w:val="24"/>
        </w:rPr>
        <w:t xml:space="preserve"> BPA has been examined in various reviews to act through a few distinctive receptor-interceded instruments of activity to disturb the endocrine framework, and, from numerous points of view, it has turned into a model EDC. BPA is a xenoestrogen that ties to and enacts the estrogen receptor (ER)</w:t>
      </w:r>
      <w:r>
        <w:rPr>
          <w:rFonts w:ascii="Times New Roman" w:hAnsi="Times New Roman" w:cs="Times New Roman"/>
          <w:sz w:val="24"/>
          <w:szCs w:val="24"/>
        </w:rPr>
        <w:t xml:space="preserve"> ( Welshon et al, 2007)</w:t>
      </w:r>
      <w:r w:rsidRPr="004E4609">
        <w:rPr>
          <w:rFonts w:ascii="Times New Roman" w:hAnsi="Times New Roman" w:cs="Times New Roman"/>
          <w:sz w:val="24"/>
          <w:szCs w:val="24"/>
        </w:rPr>
        <w:t xml:space="preserve">. In spite of the fact that it has brought down fondness for genomic ER than estradiol, flowing groupings of BPA are higher than estradiol and are inside a naturally dynamic range. What's more, BPA is at any rate as bioactive as estradiol for various reactions, especially those interceded by nongenomic flagging. BPA is likewise an antiandrogen, in that it ties to the androgen receptor and hinders the ordinary activity of </w:t>
      </w:r>
      <w:r w:rsidRPr="004E4609">
        <w:rPr>
          <w:rFonts w:ascii="Times New Roman" w:hAnsi="Times New Roman" w:cs="Times New Roman"/>
          <w:sz w:val="24"/>
          <w:szCs w:val="24"/>
        </w:rPr>
        <w:lastRenderedPageBreak/>
        <w:t xml:space="preserve">androgens; it can also modify steroid union and circling steroid hormone focuses and upset peroxisome proliferator-enacted receptor, thyroid, and glucocorticoid flagging. </w:t>
      </w:r>
    </w:p>
    <w:p w:rsidR="00F95B93" w:rsidRPr="004E4609" w:rsidRDefault="00F95B93" w:rsidP="00F95B93">
      <w:pPr>
        <w:spacing w:line="480" w:lineRule="auto"/>
        <w:ind w:firstLine="720"/>
        <w:rPr>
          <w:rFonts w:ascii="Times New Roman" w:hAnsi="Times New Roman" w:cs="Times New Roman"/>
          <w:sz w:val="24"/>
          <w:szCs w:val="24"/>
        </w:rPr>
      </w:pPr>
      <w:r w:rsidRPr="004E4609">
        <w:rPr>
          <w:rFonts w:ascii="Times New Roman" w:hAnsi="Times New Roman" w:cs="Times New Roman"/>
          <w:sz w:val="24"/>
          <w:szCs w:val="24"/>
        </w:rPr>
        <w:t xml:space="preserve">A review produced by the University of California-Irvine analysts additionally ensnares BPA in the weight issue—and raises much more prominent doubt about a related compound called bisphenol A diglycidyl ether, a blend of BPA and something many refer to as epichlorohydrin, this World Health Organization report clarifies. It's through BADGE that BPA gets into food can linings. UC-Irvine researcher Bruce Blumberg, who coauthored the review, disclosed that the BPA that winds up in our foods through can linings arrives when BADGE separates into its parts. </w:t>
      </w:r>
    </w:p>
    <w:p w:rsidR="00F95B93" w:rsidRPr="004E4609" w:rsidRDefault="00F95B93" w:rsidP="00F95B93">
      <w:pPr>
        <w:spacing w:line="480" w:lineRule="auto"/>
        <w:ind w:firstLine="720"/>
        <w:rPr>
          <w:rFonts w:ascii="Times New Roman" w:hAnsi="Times New Roman" w:cs="Times New Roman"/>
          <w:sz w:val="24"/>
          <w:szCs w:val="24"/>
        </w:rPr>
      </w:pPr>
      <w:r w:rsidRPr="004E4609">
        <w:rPr>
          <w:rFonts w:ascii="Times New Roman" w:hAnsi="Times New Roman" w:cs="Times New Roman"/>
          <w:sz w:val="24"/>
          <w:szCs w:val="24"/>
        </w:rPr>
        <w:t>Blumberg and his group found, however, that BADGE in its entire state is a much more intense obesogen than BPA—and its belongings are free of BPA. Both BADGE and BPA can trigger preadipocytes. They are known as "pre-fat cells" since they can either lie torpid, duplicate themselves, or transform into fat—to end up plainly fat cells. The UC-Irvine analysts tried the impacts BADGE, and BPA has on undifferentiated organisms, our bodies' cell building hinders that can separate into the entire assortment of human cells. They found that while BADGE can transform immature microorganisms into fat cells at minor dosages, BPA doesn't have that impact by any means. The outcome shocked Blumberg and his group since they went into the review expecting that BADGE wasn't an obesogen.</w:t>
      </w:r>
    </w:p>
    <w:p w:rsidR="00F95B93" w:rsidRPr="004E4609" w:rsidRDefault="00F95B93" w:rsidP="00F95B93">
      <w:pPr>
        <w:spacing w:line="480" w:lineRule="auto"/>
        <w:ind w:firstLine="720"/>
        <w:rPr>
          <w:rFonts w:ascii="Times New Roman" w:hAnsi="Times New Roman" w:cs="Times New Roman"/>
          <w:sz w:val="24"/>
          <w:szCs w:val="24"/>
        </w:rPr>
      </w:pPr>
      <w:r w:rsidRPr="004E4609">
        <w:rPr>
          <w:rFonts w:ascii="Times New Roman" w:hAnsi="Times New Roman" w:cs="Times New Roman"/>
          <w:sz w:val="24"/>
          <w:szCs w:val="24"/>
        </w:rPr>
        <w:t xml:space="preserve">While various reviews have measured the amount BPA drains from jars and into our bodies, next to no exploration has been done on the presentation to BADGE in its entire state. However, BADGE appears to drain into food. Blumberg says that one review discovered it in </w:t>
      </w:r>
      <w:r w:rsidRPr="004E4609">
        <w:rPr>
          <w:rFonts w:ascii="Times New Roman" w:hAnsi="Times New Roman" w:cs="Times New Roman"/>
          <w:sz w:val="24"/>
          <w:szCs w:val="24"/>
        </w:rPr>
        <w:lastRenderedPageBreak/>
        <w:t xml:space="preserve">people at a level of around 15 sections for every billion—altogether more than the three parts for every billion at which his group saw fat-initiating impacts. </w:t>
      </w:r>
    </w:p>
    <w:p w:rsidR="00F95B93" w:rsidRPr="004E4609" w:rsidRDefault="00F95B93" w:rsidP="00F95B93">
      <w:pPr>
        <w:spacing w:line="480" w:lineRule="auto"/>
        <w:ind w:firstLine="720"/>
        <w:rPr>
          <w:rFonts w:ascii="Times New Roman" w:hAnsi="Times New Roman" w:cs="Times New Roman"/>
          <w:sz w:val="24"/>
          <w:szCs w:val="24"/>
        </w:rPr>
      </w:pPr>
      <w:r w:rsidRPr="004E4609">
        <w:rPr>
          <w:rFonts w:ascii="Times New Roman" w:hAnsi="Times New Roman" w:cs="Times New Roman"/>
          <w:sz w:val="24"/>
          <w:szCs w:val="24"/>
        </w:rPr>
        <w:t xml:space="preserve">Obviously, more research should be done to deal with exactly how BADGE turns undeveloped cells to fat cells at modest measurements. Maybe it's the other fixing in BADGE, epichlorohydrin, which has the fat changing impact on stems cells, or maybe it's the way BPA and epichlorohydrin associate. In any case, the UC-Irvine paper speaks to yet another piece of proof that the FDA, which as of late reaffirmed its endorsement of BPA in can linings, isn't taking the danger of modern chemicals in </w:t>
      </w:r>
      <w:r>
        <w:rPr>
          <w:rFonts w:ascii="Times New Roman" w:hAnsi="Times New Roman" w:cs="Times New Roman"/>
          <w:sz w:val="24"/>
          <w:szCs w:val="24"/>
        </w:rPr>
        <w:t>food</w:t>
      </w:r>
      <w:r w:rsidRPr="004E4609">
        <w:rPr>
          <w:rFonts w:ascii="Times New Roman" w:hAnsi="Times New Roman" w:cs="Times New Roman"/>
          <w:sz w:val="24"/>
          <w:szCs w:val="24"/>
        </w:rPr>
        <w:t xml:space="preserve"> almost genuinely enough</w:t>
      </w:r>
      <w:r>
        <w:rPr>
          <w:rFonts w:ascii="Times New Roman" w:hAnsi="Times New Roman" w:cs="Times New Roman"/>
          <w:sz w:val="24"/>
          <w:szCs w:val="24"/>
        </w:rPr>
        <w:t xml:space="preserve"> (Wetherill et al, 2007)</w:t>
      </w:r>
      <w:r w:rsidRPr="004E4609">
        <w:rPr>
          <w:rFonts w:ascii="Times New Roman" w:hAnsi="Times New Roman" w:cs="Times New Roman"/>
          <w:sz w:val="24"/>
          <w:szCs w:val="24"/>
        </w:rPr>
        <w:t>. What's more, it likewise firmly proposes that in any event some of our corpulence issue stems not from the individual decision but instead from choices made in secret by the sustenance and compound enterprises, which have thought that it was productive to put this stuff in the food carriers.</w:t>
      </w:r>
    </w:p>
    <w:p w:rsidR="00F95B93" w:rsidRPr="004E4609" w:rsidRDefault="00F95B93" w:rsidP="00F95B93">
      <w:pPr>
        <w:spacing w:line="480" w:lineRule="auto"/>
        <w:ind w:firstLine="720"/>
        <w:rPr>
          <w:rFonts w:ascii="Times New Roman" w:hAnsi="Times New Roman" w:cs="Times New Roman"/>
          <w:sz w:val="24"/>
          <w:szCs w:val="24"/>
        </w:rPr>
      </w:pPr>
      <w:r w:rsidRPr="004E4609">
        <w:rPr>
          <w:rFonts w:ascii="Times New Roman" w:hAnsi="Times New Roman" w:cs="Times New Roman"/>
          <w:sz w:val="24"/>
          <w:szCs w:val="24"/>
        </w:rPr>
        <w:t xml:space="preserve"> For any sort of formative change to occur in the body, cells require signals from hormones instructing them. Hormones are included in practically every procedure in the human body, including how much fat the body stores, and where in the body it is put away. For the most part, hormones help to control what number of our calories to consume immediately and what number of to store as fat for the body's vitality needs. Huge numbers of the chemicals from the industry that are discharged into the earth take after hormones. These chemicals can incite a similar reaction in the body that a characteristic hormone would. </w:t>
      </w:r>
    </w:p>
    <w:p w:rsidR="00F95B93" w:rsidRDefault="00F95B93" w:rsidP="00F95B93">
      <w:pPr>
        <w:spacing w:line="480" w:lineRule="auto"/>
        <w:ind w:firstLine="720"/>
        <w:rPr>
          <w:rFonts w:ascii="Times New Roman" w:hAnsi="Times New Roman" w:cs="Times New Roman"/>
          <w:sz w:val="24"/>
          <w:szCs w:val="24"/>
        </w:rPr>
      </w:pPr>
      <w:r w:rsidRPr="004E4609">
        <w:rPr>
          <w:rFonts w:ascii="Times New Roman" w:hAnsi="Times New Roman" w:cs="Times New Roman"/>
          <w:sz w:val="24"/>
          <w:szCs w:val="24"/>
        </w:rPr>
        <w:t xml:space="preserve">Furthermore, a few chemicals that individuals are exposed to through food items, water, and the items that we utilize can meddle with our natural hormones. The chemicals that do this are called "endocrine disruptors" because they change the way our hormones (our endocrine </w:t>
      </w:r>
      <w:r w:rsidRPr="004E4609">
        <w:rPr>
          <w:rFonts w:ascii="Times New Roman" w:hAnsi="Times New Roman" w:cs="Times New Roman"/>
          <w:sz w:val="24"/>
          <w:szCs w:val="24"/>
        </w:rPr>
        <w:lastRenderedPageBreak/>
        <w:t>framework) work. Chemicals can make the body "think" that it needs to store more fat than it does, or they can meddle with the procedures our bodies use to make fat cells. Babies creating in the womb are particularly helpless against these sorts of chemicals. There is proof that infants who are exposed to endocrine upsetting chemicals in the womb might be at higher hazard for weight and different issues as adults.</w:t>
      </w:r>
    </w:p>
    <w:p w:rsidR="005A08EC" w:rsidRPr="005A08EC" w:rsidRDefault="005A08EC" w:rsidP="005A08EC">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2012,</w:t>
      </w:r>
      <w:r w:rsidRPr="005A08EC">
        <w:rPr>
          <w:rFonts w:ascii="Times New Roman" w:hAnsi="Times New Roman" w:cs="Times New Roman"/>
          <w:sz w:val="24"/>
          <w:szCs w:val="24"/>
        </w:rPr>
        <w:t xml:space="preserve"> the Food and Drug Administration in the nation prohibited the utilization of BPA in infant bottles. The office valued the way that there is a bunch of issues that go with the utilization of the substance among kids. The paper shows that the issue with this synthetic is that the minute it gets even the smallest measure of warmth, it isolates from the thing which it coats and after that blends</w:t>
      </w:r>
      <w:r>
        <w:rPr>
          <w:rFonts w:ascii="Times New Roman" w:hAnsi="Times New Roman" w:cs="Times New Roman"/>
          <w:sz w:val="24"/>
          <w:szCs w:val="24"/>
        </w:rPr>
        <w:t xml:space="preserve"> with the hot fluids</w:t>
      </w:r>
      <w:r w:rsidRPr="005A08EC">
        <w:rPr>
          <w:rFonts w:ascii="Times New Roman" w:hAnsi="Times New Roman" w:cs="Times New Roman"/>
          <w:sz w:val="24"/>
          <w:szCs w:val="24"/>
        </w:rPr>
        <w:t xml:space="preserve">. Whenever expended, the paper says, it starts a few exercises in the body which over the long haul influence the way the typical working of the endocrine framework. Strikingly, the article demonstrates that eager moms who are presented to the compound stand the shot of uncovering their unborn children to the concoction. Subsequently, an infant might not have been presented to the material yet may end up noticeably large because of the contact with the BPA that was devoured by the mother amid the pregnancy. </w:t>
      </w:r>
    </w:p>
    <w:p w:rsidR="005A08EC" w:rsidRPr="00F95B93" w:rsidRDefault="005A08EC" w:rsidP="005A08EC">
      <w:pPr>
        <w:spacing w:line="480" w:lineRule="auto"/>
        <w:ind w:firstLine="720"/>
        <w:rPr>
          <w:rFonts w:ascii="Times New Roman" w:hAnsi="Times New Roman" w:cs="Times New Roman"/>
          <w:sz w:val="24"/>
          <w:szCs w:val="24"/>
        </w:rPr>
      </w:pPr>
      <w:r w:rsidRPr="005A08EC">
        <w:rPr>
          <w:rFonts w:ascii="Times New Roman" w:hAnsi="Times New Roman" w:cs="Times New Roman"/>
          <w:sz w:val="24"/>
          <w:szCs w:val="24"/>
        </w:rPr>
        <w:t xml:space="preserve">In the year 2009, a gathering of specialists from the Harvard School of Public Health conveyed an exploration to decide the routes in which plastic materials influenced the wellbeing of people through the different beverages that they utilize. In the examination, a few understudies were given cool beverages from plastic jugs for two weeks. After this period, the researchers led tests on their pee and found that the measures of BPA in their pee expanded by more than 66%. In this review, the fluid in the compartments was not hot but there was a striking nearness of BPA in the blood tests that were gathered. Expecting that the fluids were hot, the odds are high that the BPA content in the framework would be substantially more prominent than the principal </w:t>
      </w:r>
      <w:r w:rsidRPr="005A08EC">
        <w:rPr>
          <w:rFonts w:ascii="Times New Roman" w:hAnsi="Times New Roman" w:cs="Times New Roman"/>
          <w:sz w:val="24"/>
          <w:szCs w:val="24"/>
        </w:rPr>
        <w:lastRenderedPageBreak/>
        <w:t>records. That examination was a reasonable showing that utilizing plastic materials in dealing with human sustenance is not beneficial since it brings about the expansion of BPA in the human body.</w:t>
      </w:r>
    </w:p>
    <w:p w:rsidR="00F95B93" w:rsidRDefault="00F95B93" w:rsidP="004238BC">
      <w:pPr>
        <w:spacing w:line="480" w:lineRule="auto"/>
        <w:rPr>
          <w:rFonts w:ascii="Times New Roman" w:hAnsi="Times New Roman" w:cs="Times New Roman"/>
          <w:b/>
          <w:sz w:val="24"/>
          <w:szCs w:val="24"/>
        </w:rPr>
      </w:pPr>
    </w:p>
    <w:p w:rsidR="00F95B93" w:rsidRDefault="00F95B93" w:rsidP="004238BC">
      <w:pPr>
        <w:spacing w:line="480" w:lineRule="auto"/>
        <w:rPr>
          <w:rFonts w:ascii="Times New Roman" w:hAnsi="Times New Roman" w:cs="Times New Roman"/>
          <w:b/>
          <w:sz w:val="24"/>
          <w:szCs w:val="24"/>
        </w:rPr>
      </w:pPr>
    </w:p>
    <w:p w:rsidR="00F95B93" w:rsidRDefault="00F95B93" w:rsidP="004238BC">
      <w:pPr>
        <w:spacing w:line="480" w:lineRule="auto"/>
        <w:rPr>
          <w:rFonts w:ascii="Times New Roman" w:hAnsi="Times New Roman" w:cs="Times New Roman"/>
          <w:b/>
          <w:sz w:val="24"/>
          <w:szCs w:val="24"/>
        </w:rPr>
      </w:pPr>
    </w:p>
    <w:p w:rsidR="00F95B93" w:rsidRDefault="00F95B93" w:rsidP="004238BC">
      <w:pPr>
        <w:spacing w:line="480" w:lineRule="auto"/>
        <w:rPr>
          <w:rFonts w:ascii="Times New Roman" w:hAnsi="Times New Roman" w:cs="Times New Roman"/>
          <w:b/>
          <w:sz w:val="24"/>
          <w:szCs w:val="24"/>
        </w:rPr>
      </w:pPr>
    </w:p>
    <w:p w:rsidR="00F95B93" w:rsidRDefault="00F95B93" w:rsidP="004238BC">
      <w:pPr>
        <w:spacing w:line="480" w:lineRule="auto"/>
        <w:rPr>
          <w:rFonts w:ascii="Times New Roman" w:hAnsi="Times New Roman" w:cs="Times New Roman"/>
          <w:b/>
          <w:sz w:val="24"/>
          <w:szCs w:val="24"/>
        </w:rPr>
      </w:pPr>
    </w:p>
    <w:p w:rsidR="00F95B93" w:rsidRDefault="00F95B93" w:rsidP="004238BC">
      <w:pPr>
        <w:spacing w:line="480" w:lineRule="auto"/>
        <w:rPr>
          <w:rFonts w:ascii="Times New Roman" w:hAnsi="Times New Roman" w:cs="Times New Roman"/>
          <w:b/>
          <w:sz w:val="24"/>
          <w:szCs w:val="24"/>
        </w:rPr>
      </w:pPr>
    </w:p>
    <w:p w:rsidR="00F95B93" w:rsidRDefault="00F95B93" w:rsidP="004238BC">
      <w:pPr>
        <w:spacing w:line="480" w:lineRule="auto"/>
        <w:rPr>
          <w:rFonts w:ascii="Times New Roman" w:hAnsi="Times New Roman" w:cs="Times New Roman"/>
          <w:b/>
          <w:sz w:val="24"/>
          <w:szCs w:val="24"/>
        </w:rPr>
      </w:pPr>
    </w:p>
    <w:p w:rsidR="00F95B93" w:rsidRDefault="00F95B93" w:rsidP="004238BC">
      <w:pPr>
        <w:spacing w:line="480" w:lineRule="auto"/>
        <w:rPr>
          <w:rFonts w:ascii="Times New Roman" w:hAnsi="Times New Roman" w:cs="Times New Roman"/>
          <w:b/>
          <w:sz w:val="24"/>
          <w:szCs w:val="24"/>
        </w:rPr>
      </w:pPr>
    </w:p>
    <w:p w:rsidR="00F95B93" w:rsidRDefault="00F95B93" w:rsidP="004238BC">
      <w:pPr>
        <w:spacing w:line="480" w:lineRule="auto"/>
        <w:rPr>
          <w:rFonts w:ascii="Times New Roman" w:hAnsi="Times New Roman" w:cs="Times New Roman"/>
          <w:b/>
          <w:sz w:val="24"/>
          <w:szCs w:val="24"/>
        </w:rPr>
      </w:pPr>
    </w:p>
    <w:p w:rsidR="00F95B93" w:rsidRDefault="00F95B93" w:rsidP="004238BC">
      <w:pPr>
        <w:spacing w:line="480" w:lineRule="auto"/>
        <w:rPr>
          <w:rFonts w:ascii="Times New Roman" w:hAnsi="Times New Roman" w:cs="Times New Roman"/>
          <w:b/>
          <w:sz w:val="24"/>
          <w:szCs w:val="24"/>
        </w:rPr>
      </w:pPr>
    </w:p>
    <w:p w:rsidR="00F95B93" w:rsidRDefault="00F95B93" w:rsidP="004238BC">
      <w:pPr>
        <w:spacing w:line="480" w:lineRule="auto"/>
        <w:rPr>
          <w:rFonts w:ascii="Times New Roman" w:hAnsi="Times New Roman" w:cs="Times New Roman"/>
          <w:b/>
          <w:sz w:val="24"/>
          <w:szCs w:val="24"/>
        </w:rPr>
      </w:pPr>
    </w:p>
    <w:p w:rsidR="00F95B93" w:rsidRDefault="00F95B93" w:rsidP="004238BC">
      <w:pPr>
        <w:spacing w:line="480" w:lineRule="auto"/>
        <w:rPr>
          <w:rFonts w:ascii="Times New Roman" w:hAnsi="Times New Roman" w:cs="Times New Roman"/>
          <w:b/>
          <w:sz w:val="24"/>
          <w:szCs w:val="24"/>
        </w:rPr>
      </w:pPr>
    </w:p>
    <w:p w:rsidR="00F95B93" w:rsidRDefault="00F95B93" w:rsidP="004238BC">
      <w:pPr>
        <w:spacing w:line="480" w:lineRule="auto"/>
        <w:rPr>
          <w:rFonts w:ascii="Times New Roman" w:hAnsi="Times New Roman" w:cs="Times New Roman"/>
          <w:b/>
          <w:sz w:val="24"/>
          <w:szCs w:val="24"/>
        </w:rPr>
      </w:pPr>
    </w:p>
    <w:p w:rsidR="005A08EC" w:rsidRDefault="005A08EC" w:rsidP="004238BC">
      <w:pPr>
        <w:spacing w:line="480" w:lineRule="auto"/>
        <w:rPr>
          <w:rFonts w:ascii="Times New Roman" w:hAnsi="Times New Roman" w:cs="Times New Roman"/>
          <w:b/>
          <w:sz w:val="24"/>
          <w:szCs w:val="24"/>
        </w:rPr>
      </w:pPr>
    </w:p>
    <w:p w:rsidR="005A08EC" w:rsidRDefault="005A08EC" w:rsidP="004238BC">
      <w:pPr>
        <w:spacing w:line="480" w:lineRule="auto"/>
        <w:rPr>
          <w:rFonts w:ascii="Times New Roman" w:hAnsi="Times New Roman" w:cs="Times New Roman"/>
          <w:b/>
          <w:sz w:val="24"/>
          <w:szCs w:val="24"/>
        </w:rPr>
      </w:pPr>
    </w:p>
    <w:p w:rsidR="004238BC" w:rsidRPr="001E166E" w:rsidRDefault="004238BC" w:rsidP="004238BC">
      <w:pPr>
        <w:spacing w:line="480" w:lineRule="auto"/>
        <w:rPr>
          <w:rFonts w:ascii="Times New Roman" w:hAnsi="Times New Roman" w:cs="Times New Roman"/>
          <w:b/>
          <w:sz w:val="24"/>
          <w:szCs w:val="24"/>
        </w:rPr>
      </w:pPr>
      <w:r w:rsidRPr="001E166E">
        <w:rPr>
          <w:rFonts w:ascii="Times New Roman" w:hAnsi="Times New Roman" w:cs="Times New Roman"/>
          <w:b/>
          <w:sz w:val="24"/>
          <w:szCs w:val="24"/>
        </w:rPr>
        <w:lastRenderedPageBreak/>
        <w:t>Materials and methods</w:t>
      </w:r>
    </w:p>
    <w:p w:rsidR="004238BC" w:rsidRPr="001E166E" w:rsidRDefault="004238BC" w:rsidP="004238BC">
      <w:pPr>
        <w:spacing w:line="480" w:lineRule="auto"/>
        <w:rPr>
          <w:rFonts w:ascii="Times New Roman" w:hAnsi="Times New Roman" w:cs="Times New Roman"/>
          <w:i/>
          <w:sz w:val="24"/>
          <w:szCs w:val="24"/>
        </w:rPr>
      </w:pPr>
      <w:r w:rsidRPr="001E166E">
        <w:rPr>
          <w:rFonts w:ascii="Times New Roman" w:hAnsi="Times New Roman" w:cs="Times New Roman"/>
          <w:i/>
          <w:sz w:val="24"/>
          <w:szCs w:val="24"/>
        </w:rPr>
        <w:t xml:space="preserve">The study population </w:t>
      </w:r>
    </w:p>
    <w:p w:rsidR="004238BC" w:rsidRDefault="004238BC" w:rsidP="004238BC">
      <w:pPr>
        <w:spacing w:line="480" w:lineRule="auto"/>
        <w:rPr>
          <w:rFonts w:ascii="Times New Roman" w:hAnsi="Times New Roman" w:cs="Times New Roman"/>
          <w:sz w:val="24"/>
          <w:szCs w:val="24"/>
        </w:rPr>
      </w:pPr>
      <w:r w:rsidRPr="001E166E">
        <w:rPr>
          <w:rFonts w:ascii="Times New Roman" w:hAnsi="Times New Roman" w:cs="Times New Roman"/>
          <w:sz w:val="24"/>
          <w:szCs w:val="24"/>
        </w:rPr>
        <w:t>There was a sum of 26 primary level schools with 17,570 pupils and 30 middle-level schools wi</w:t>
      </w:r>
      <w:r w:rsidR="005E41BD">
        <w:rPr>
          <w:rFonts w:ascii="Times New Roman" w:hAnsi="Times New Roman" w:cs="Times New Roman"/>
          <w:sz w:val="24"/>
          <w:szCs w:val="24"/>
        </w:rPr>
        <w:t>th 21,059 understudies in Miami, Florida</w:t>
      </w:r>
      <w:r w:rsidRPr="001E166E">
        <w:rPr>
          <w:rFonts w:ascii="Times New Roman" w:hAnsi="Times New Roman" w:cs="Times New Roman"/>
          <w:sz w:val="24"/>
          <w:szCs w:val="24"/>
        </w:rPr>
        <w:t xml:space="preserve">. For the present review, three grade schools (a sum of 518, 448, and 573 substitutes, individually) and three centre schools (467, 541, and 374 understudies, separately) were haphazardly chosen. From each selected school, 20 obese, ten overweight, and 30 normal weight children aged 8-15 years were arbitrarily picked in the premise of the latest yearly standard physical examination conducted in October 2016, and accessible data included weight, stature, age, sex, and ethnicity of understudies. The </w:t>
      </w:r>
      <w:r w:rsidR="007771B6">
        <w:rPr>
          <w:rFonts w:ascii="Times New Roman" w:hAnsi="Times New Roman" w:cs="Times New Roman"/>
          <w:sz w:val="24"/>
          <w:szCs w:val="24"/>
        </w:rPr>
        <w:t>children</w:t>
      </w:r>
      <w:r w:rsidRPr="001E166E">
        <w:rPr>
          <w:rFonts w:ascii="Times New Roman" w:hAnsi="Times New Roman" w:cs="Times New Roman"/>
          <w:sz w:val="24"/>
          <w:szCs w:val="24"/>
        </w:rPr>
        <w:t xml:space="preserve"> with liver, kidney or endocrine infections were rejected. An aggregate of 360 children was chosen, and they were from different racial groups.  It is necessary to state that the chemical and its effects on the body does not in any way relate to the ethnic group to which an individual belongs. The body reacts in the same to the presence of the chemical in the body without considering racial grouping. The review was affirmed by the Ethical Review Board of the National Health and Nutrition Examination Survey (NHANES). To get consents to participate in the research, the guardians or the participants themselves provided a written and voluntary letter agreeing to the terms of the investigation.</w:t>
      </w:r>
    </w:p>
    <w:p w:rsidR="004238BC" w:rsidRPr="001E166E" w:rsidRDefault="004238BC" w:rsidP="004238BC">
      <w:pPr>
        <w:spacing w:line="480" w:lineRule="auto"/>
        <w:rPr>
          <w:rFonts w:ascii="Times New Roman" w:hAnsi="Times New Roman" w:cs="Times New Roman"/>
          <w:i/>
          <w:sz w:val="24"/>
          <w:szCs w:val="24"/>
        </w:rPr>
      </w:pPr>
      <w:r w:rsidRPr="001E166E">
        <w:rPr>
          <w:rFonts w:ascii="Times New Roman" w:hAnsi="Times New Roman" w:cs="Times New Roman"/>
          <w:i/>
          <w:sz w:val="24"/>
          <w:szCs w:val="24"/>
        </w:rPr>
        <w:t xml:space="preserve"> The anthropometric measurement</w:t>
      </w:r>
    </w:p>
    <w:p w:rsidR="004238BC" w:rsidRPr="001E166E" w:rsidRDefault="004238BC" w:rsidP="004238BC">
      <w:pPr>
        <w:spacing w:line="480" w:lineRule="auto"/>
        <w:ind w:firstLine="720"/>
        <w:rPr>
          <w:rFonts w:ascii="Times New Roman" w:hAnsi="Times New Roman" w:cs="Times New Roman"/>
          <w:sz w:val="24"/>
          <w:szCs w:val="24"/>
        </w:rPr>
      </w:pPr>
      <w:r w:rsidRPr="001E166E">
        <w:rPr>
          <w:rFonts w:ascii="Times New Roman" w:hAnsi="Times New Roman" w:cs="Times New Roman"/>
          <w:sz w:val="24"/>
          <w:szCs w:val="24"/>
        </w:rPr>
        <w:t xml:space="preserve">Body weight (kg) and height (cm) were measured </w:t>
      </w:r>
      <w:r w:rsidR="002144FF" w:rsidRPr="001E166E">
        <w:rPr>
          <w:rFonts w:ascii="Times New Roman" w:hAnsi="Times New Roman" w:cs="Times New Roman"/>
          <w:sz w:val="24"/>
          <w:szCs w:val="24"/>
        </w:rPr>
        <w:t>utilizing</w:t>
      </w:r>
      <w:r w:rsidRPr="001E166E">
        <w:rPr>
          <w:rFonts w:ascii="Times New Roman" w:hAnsi="Times New Roman" w:cs="Times New Roman"/>
          <w:sz w:val="24"/>
          <w:szCs w:val="24"/>
        </w:rPr>
        <w:t xml:space="preserve"> a similar kind of contraption and took after the standard methodology prescribed by NHANES. Subjects were required to wear light garments and stand straight and shoeless while being measured. All instruments were appropriately aligned. BMI is a sensible step of heftiness in </w:t>
      </w:r>
      <w:r w:rsidR="007771B6">
        <w:rPr>
          <w:rFonts w:ascii="Times New Roman" w:hAnsi="Times New Roman" w:cs="Times New Roman"/>
          <w:sz w:val="24"/>
          <w:szCs w:val="24"/>
        </w:rPr>
        <w:t xml:space="preserve">children </w:t>
      </w:r>
      <w:r w:rsidRPr="001E166E">
        <w:rPr>
          <w:rFonts w:ascii="Times New Roman" w:hAnsi="Times New Roman" w:cs="Times New Roman"/>
          <w:sz w:val="24"/>
          <w:szCs w:val="24"/>
        </w:rPr>
        <w:t xml:space="preserve">and young people and </w:t>
      </w:r>
      <w:r w:rsidRPr="001E166E">
        <w:rPr>
          <w:rFonts w:ascii="Times New Roman" w:hAnsi="Times New Roman" w:cs="Times New Roman"/>
          <w:sz w:val="24"/>
          <w:szCs w:val="24"/>
        </w:rPr>
        <w:lastRenderedPageBreak/>
        <w:t xml:space="preserve">computed as weight in kilogrammes separated by HEIGHT in meters squared. Ordinary weight, overweight, and corpulent people were distinguished by the BMI-based criteria by age and sex proposed by the National Health and Nutrition Examination Survey.  </w:t>
      </w:r>
    </w:p>
    <w:p w:rsidR="004238BC" w:rsidRPr="001E166E" w:rsidRDefault="004238BC" w:rsidP="004238BC">
      <w:pPr>
        <w:spacing w:line="480" w:lineRule="auto"/>
        <w:rPr>
          <w:rFonts w:ascii="Times New Roman" w:hAnsi="Times New Roman" w:cs="Times New Roman"/>
          <w:i/>
          <w:sz w:val="24"/>
          <w:szCs w:val="24"/>
        </w:rPr>
      </w:pPr>
      <w:r w:rsidRPr="001E166E">
        <w:rPr>
          <w:rFonts w:ascii="Times New Roman" w:hAnsi="Times New Roman" w:cs="Times New Roman"/>
          <w:i/>
          <w:sz w:val="24"/>
          <w:szCs w:val="24"/>
        </w:rPr>
        <w:t xml:space="preserve">The measurement of BPA in urine </w:t>
      </w:r>
    </w:p>
    <w:p w:rsidR="004238BC" w:rsidRPr="001E166E" w:rsidRDefault="004238BC" w:rsidP="004238BC">
      <w:pPr>
        <w:spacing w:line="480" w:lineRule="auto"/>
        <w:ind w:firstLine="720"/>
        <w:rPr>
          <w:rFonts w:ascii="Times New Roman" w:hAnsi="Times New Roman" w:cs="Times New Roman"/>
          <w:sz w:val="24"/>
          <w:szCs w:val="24"/>
        </w:rPr>
      </w:pPr>
      <w:r w:rsidRPr="001E166E">
        <w:rPr>
          <w:rFonts w:ascii="Times New Roman" w:hAnsi="Times New Roman" w:cs="Times New Roman"/>
          <w:sz w:val="24"/>
          <w:szCs w:val="24"/>
        </w:rPr>
        <w:t>To begin with, the first-morning urine was gathered by members themselves. To limit the pollution of BPA amid urine inspecting and putting away, the members were advised to maintain a strategic distance from a contact of urine with plastic items during the time spent urine accumulation, and urine tests were gathered in glass tubes, which</w:t>
      </w:r>
      <w:r w:rsidR="007771B6">
        <w:rPr>
          <w:rFonts w:ascii="Times New Roman" w:hAnsi="Times New Roman" w:cs="Times New Roman"/>
          <w:sz w:val="24"/>
          <w:szCs w:val="24"/>
        </w:rPr>
        <w:t xml:space="preserve"> were</w:t>
      </w:r>
      <w:r w:rsidRPr="001E166E">
        <w:rPr>
          <w:rFonts w:ascii="Times New Roman" w:hAnsi="Times New Roman" w:cs="Times New Roman"/>
          <w:sz w:val="24"/>
          <w:szCs w:val="24"/>
        </w:rPr>
        <w:t xml:space="preserve"> washed by CH3)2CO and heated at 350°C for 2 hours. The gathered urine tests were transported to th</w:t>
      </w:r>
      <w:r w:rsidR="007771B6">
        <w:rPr>
          <w:rFonts w:ascii="Times New Roman" w:hAnsi="Times New Roman" w:cs="Times New Roman"/>
          <w:sz w:val="24"/>
          <w:szCs w:val="24"/>
        </w:rPr>
        <w:t>e lab as quickly as time permitted</w:t>
      </w:r>
      <w:r w:rsidRPr="001E166E">
        <w:rPr>
          <w:rFonts w:ascii="Times New Roman" w:hAnsi="Times New Roman" w:cs="Times New Roman"/>
          <w:sz w:val="24"/>
          <w:szCs w:val="24"/>
        </w:rPr>
        <w:t xml:space="preserve"> and put away in the dark at - 20°C until examination. The reason for this action was to ensure that the urine d</w:t>
      </w:r>
      <w:r w:rsidR="007771B6">
        <w:rPr>
          <w:rFonts w:ascii="Times New Roman" w:hAnsi="Times New Roman" w:cs="Times New Roman"/>
          <w:sz w:val="24"/>
          <w:szCs w:val="24"/>
        </w:rPr>
        <w:t>id</w:t>
      </w:r>
      <w:r w:rsidRPr="001E166E">
        <w:rPr>
          <w:rFonts w:ascii="Times New Roman" w:hAnsi="Times New Roman" w:cs="Times New Roman"/>
          <w:sz w:val="24"/>
          <w:szCs w:val="24"/>
        </w:rPr>
        <w:t xml:space="preserve"> not get exposed to sunlight, a situation that may compromise the ultimate outcomes of the test. All the urine tests were gathered between January 3 and 6, 2017, around three months after the most recent physical examination.</w:t>
      </w:r>
    </w:p>
    <w:p w:rsidR="004238BC" w:rsidRDefault="004238BC" w:rsidP="00F95B93">
      <w:pPr>
        <w:spacing w:line="480" w:lineRule="auto"/>
        <w:ind w:firstLine="720"/>
        <w:rPr>
          <w:rFonts w:ascii="Times New Roman" w:hAnsi="Times New Roman" w:cs="Times New Roman"/>
          <w:sz w:val="24"/>
          <w:szCs w:val="24"/>
        </w:rPr>
      </w:pPr>
      <w:r w:rsidRPr="001E166E">
        <w:rPr>
          <w:rFonts w:ascii="Times New Roman" w:hAnsi="Times New Roman" w:cs="Times New Roman"/>
          <w:sz w:val="24"/>
          <w:szCs w:val="24"/>
        </w:rPr>
        <w:t xml:space="preserve"> The investigation of aggregate urine BPA (free and conjugated) was completed by strong stage extraction combined with ultra-performance chromatography. All urine studies were done in random for three BMI gatherings (normal weight, overweight, and obese), which was blinded to explanatory experts. To lessen a potential precise drift of expository strategy after some time, every one of the examinations of urine tests was finished in March 2017. </w:t>
      </w:r>
    </w:p>
    <w:p w:rsidR="004238BC" w:rsidRPr="001E166E" w:rsidRDefault="004238BC" w:rsidP="004238BC">
      <w:pPr>
        <w:spacing w:line="480" w:lineRule="auto"/>
        <w:rPr>
          <w:rFonts w:ascii="Times New Roman" w:hAnsi="Times New Roman" w:cs="Times New Roman"/>
          <w:i/>
          <w:sz w:val="24"/>
          <w:szCs w:val="24"/>
        </w:rPr>
      </w:pPr>
      <w:r w:rsidRPr="001E166E">
        <w:rPr>
          <w:rFonts w:ascii="Times New Roman" w:hAnsi="Times New Roman" w:cs="Times New Roman"/>
          <w:i/>
          <w:sz w:val="24"/>
          <w:szCs w:val="24"/>
        </w:rPr>
        <w:t>The statistical analysis</w:t>
      </w:r>
    </w:p>
    <w:p w:rsidR="004238BC" w:rsidRPr="001E166E" w:rsidRDefault="004238BC" w:rsidP="004238BC">
      <w:pPr>
        <w:spacing w:line="480" w:lineRule="auto"/>
        <w:rPr>
          <w:rFonts w:ascii="Times New Roman" w:hAnsi="Times New Roman" w:cs="Times New Roman"/>
          <w:sz w:val="24"/>
          <w:szCs w:val="24"/>
        </w:rPr>
      </w:pPr>
      <w:r>
        <w:rPr>
          <w:rFonts w:ascii="Times New Roman" w:hAnsi="Times New Roman" w:cs="Times New Roman"/>
          <w:sz w:val="24"/>
          <w:szCs w:val="24"/>
        </w:rPr>
        <w:tab/>
      </w:r>
      <w:r w:rsidRPr="001E166E">
        <w:rPr>
          <w:rFonts w:ascii="Times New Roman" w:hAnsi="Times New Roman" w:cs="Times New Roman"/>
          <w:sz w:val="24"/>
          <w:szCs w:val="24"/>
        </w:rPr>
        <w:t xml:space="preserve">For estimations beneath the limit of detection (LOD, 0.07 ng/mL,), a default estimation of LOD separated by the square base of 2 was relegated, which creates sensibly nonbiased means and standard deviations. Day </w:t>
      </w:r>
      <w:r w:rsidR="007771B6">
        <w:rPr>
          <w:rFonts w:ascii="Times New Roman" w:hAnsi="Times New Roman" w:cs="Times New Roman"/>
          <w:sz w:val="24"/>
          <w:szCs w:val="24"/>
        </w:rPr>
        <w:t>-</w:t>
      </w:r>
      <w:r w:rsidRPr="001E166E">
        <w:rPr>
          <w:rFonts w:ascii="Times New Roman" w:hAnsi="Times New Roman" w:cs="Times New Roman"/>
          <w:sz w:val="24"/>
          <w:szCs w:val="24"/>
        </w:rPr>
        <w:t xml:space="preserve">by </w:t>
      </w:r>
      <w:r w:rsidR="007771B6">
        <w:rPr>
          <w:rFonts w:ascii="Times New Roman" w:hAnsi="Times New Roman" w:cs="Times New Roman"/>
          <w:sz w:val="24"/>
          <w:szCs w:val="24"/>
        </w:rPr>
        <w:t>-</w:t>
      </w:r>
      <w:r w:rsidRPr="001E166E">
        <w:rPr>
          <w:rFonts w:ascii="Times New Roman" w:hAnsi="Times New Roman" w:cs="Times New Roman"/>
          <w:sz w:val="24"/>
          <w:szCs w:val="24"/>
        </w:rPr>
        <w:t xml:space="preserve">day </w:t>
      </w:r>
      <w:r w:rsidR="007771B6">
        <w:rPr>
          <w:rFonts w:ascii="Times New Roman" w:hAnsi="Times New Roman" w:cs="Times New Roman"/>
          <w:sz w:val="24"/>
          <w:szCs w:val="24"/>
        </w:rPr>
        <w:t>estimates were</w:t>
      </w:r>
      <w:r w:rsidRPr="001E166E">
        <w:rPr>
          <w:rFonts w:ascii="Times New Roman" w:hAnsi="Times New Roman" w:cs="Times New Roman"/>
          <w:sz w:val="24"/>
          <w:szCs w:val="24"/>
        </w:rPr>
        <w:t xml:space="preserve"> figured in the premise of urine BPA </w:t>
      </w:r>
      <w:r w:rsidRPr="001E166E">
        <w:rPr>
          <w:rFonts w:ascii="Times New Roman" w:hAnsi="Times New Roman" w:cs="Times New Roman"/>
          <w:sz w:val="24"/>
          <w:szCs w:val="24"/>
        </w:rPr>
        <w:lastRenderedPageBreak/>
        <w:t xml:space="preserve">focuses </w:t>
      </w:r>
      <w:r w:rsidR="00057958" w:rsidRPr="001E166E">
        <w:rPr>
          <w:rFonts w:ascii="Times New Roman" w:hAnsi="Times New Roman" w:cs="Times New Roman"/>
          <w:sz w:val="24"/>
          <w:szCs w:val="24"/>
        </w:rPr>
        <w:t>utilizing</w:t>
      </w:r>
      <w:r w:rsidRPr="001E166E">
        <w:rPr>
          <w:rFonts w:ascii="Times New Roman" w:hAnsi="Times New Roman" w:cs="Times New Roman"/>
          <w:sz w:val="24"/>
          <w:szCs w:val="24"/>
        </w:rPr>
        <w:t xml:space="preserve"> a changed strategy with the reference values prescribed by the International Commission on Radiological Protection (ICRP). The standard value (600 ml/day) of the ICRP urine yields (500 ml/day for youngsters five years old and 700 ml/day for those ten years old) was </w:t>
      </w:r>
      <w:r w:rsidR="00057958" w:rsidRPr="001E166E">
        <w:rPr>
          <w:rFonts w:ascii="Times New Roman" w:hAnsi="Times New Roman" w:cs="Times New Roman"/>
          <w:sz w:val="24"/>
          <w:szCs w:val="24"/>
        </w:rPr>
        <w:t>utilized</w:t>
      </w:r>
      <w:r w:rsidRPr="001E166E">
        <w:rPr>
          <w:rFonts w:ascii="Times New Roman" w:hAnsi="Times New Roman" w:cs="Times New Roman"/>
          <w:sz w:val="24"/>
          <w:szCs w:val="24"/>
        </w:rPr>
        <w:t xml:space="preserve"> for the 6-11 year age gathering. For the 12-19 year age group, the ICRP urine yield of 15 years old (1200 ml/day) was </w:t>
      </w:r>
      <w:r w:rsidR="00057958" w:rsidRPr="001E166E">
        <w:rPr>
          <w:rFonts w:ascii="Times New Roman" w:hAnsi="Times New Roman" w:cs="Times New Roman"/>
          <w:sz w:val="24"/>
          <w:szCs w:val="24"/>
        </w:rPr>
        <w:t>utilized</w:t>
      </w:r>
      <w:r w:rsidRPr="001E166E">
        <w:rPr>
          <w:rFonts w:ascii="Times New Roman" w:hAnsi="Times New Roman" w:cs="Times New Roman"/>
          <w:sz w:val="24"/>
          <w:szCs w:val="24"/>
        </w:rPr>
        <w:t>. The count equation is DI = C × V/1000, where DI is the day by intake value (μg/day), C is the urinary BPA focus (ng/mL), and V is the urinary yield (mL/day).</w:t>
      </w:r>
    </w:p>
    <w:p w:rsidR="004238BC" w:rsidRPr="001E166E" w:rsidRDefault="004238BC" w:rsidP="004238BC">
      <w:pPr>
        <w:spacing w:line="480" w:lineRule="auto"/>
        <w:rPr>
          <w:rFonts w:ascii="Times New Roman" w:hAnsi="Times New Roman" w:cs="Times New Roman"/>
          <w:sz w:val="24"/>
          <w:szCs w:val="24"/>
        </w:rPr>
      </w:pPr>
      <w:r>
        <w:rPr>
          <w:rFonts w:ascii="Times New Roman" w:hAnsi="Times New Roman" w:cs="Times New Roman"/>
          <w:sz w:val="24"/>
          <w:szCs w:val="24"/>
        </w:rPr>
        <w:tab/>
      </w:r>
      <w:r w:rsidRPr="001E166E">
        <w:rPr>
          <w:rFonts w:ascii="Times New Roman" w:hAnsi="Times New Roman" w:cs="Times New Roman"/>
          <w:sz w:val="24"/>
          <w:szCs w:val="24"/>
        </w:rPr>
        <w:t xml:space="preserve">For arithmetic insights, the mean and standard deviation for weight, stature, and BMI for all subjects or by sex, age (8-9, 10-11, 12-13, and 14-15 years old), and BMI (normal weight, overweight, and obese) were computed. For urinary BPA concentrations and everyday consumption gauges, we likewise figured geometric mean (GM) and its 95% certainty interim (CI), middle, and range. The 95% CI of GM was a personal exponential </w:t>
      </w:r>
      <w:r w:rsidR="00057958" w:rsidRPr="001E166E">
        <w:rPr>
          <w:rFonts w:ascii="Times New Roman" w:hAnsi="Times New Roman" w:cs="Times New Roman"/>
          <w:sz w:val="24"/>
          <w:szCs w:val="24"/>
        </w:rPr>
        <w:t>change of that of math means</w:t>
      </w:r>
      <w:r w:rsidRPr="001E166E">
        <w:rPr>
          <w:rFonts w:ascii="Times New Roman" w:hAnsi="Times New Roman" w:cs="Times New Roman"/>
          <w:sz w:val="24"/>
          <w:szCs w:val="24"/>
        </w:rPr>
        <w:t xml:space="preserve"> of actually log-changed urine BPA concentrations. A natural log-transformation was </w:t>
      </w:r>
      <w:r w:rsidR="00057958" w:rsidRPr="001E166E">
        <w:rPr>
          <w:rFonts w:ascii="Times New Roman" w:hAnsi="Times New Roman" w:cs="Times New Roman"/>
          <w:sz w:val="24"/>
          <w:szCs w:val="24"/>
        </w:rPr>
        <w:t>utilized</w:t>
      </w:r>
      <w:r w:rsidRPr="001E166E">
        <w:rPr>
          <w:rFonts w:ascii="Times New Roman" w:hAnsi="Times New Roman" w:cs="Times New Roman"/>
          <w:sz w:val="24"/>
          <w:szCs w:val="24"/>
        </w:rPr>
        <w:t xml:space="preserve"> to </w:t>
      </w:r>
      <w:r w:rsidR="00057958" w:rsidRPr="001E166E">
        <w:rPr>
          <w:rFonts w:ascii="Times New Roman" w:hAnsi="Times New Roman" w:cs="Times New Roman"/>
          <w:sz w:val="24"/>
          <w:szCs w:val="24"/>
        </w:rPr>
        <w:t>standardize</w:t>
      </w:r>
      <w:r w:rsidRPr="001E166E">
        <w:rPr>
          <w:rFonts w:ascii="Times New Roman" w:hAnsi="Times New Roman" w:cs="Times New Roman"/>
          <w:sz w:val="24"/>
          <w:szCs w:val="24"/>
        </w:rPr>
        <w:t xml:space="preserve"> the BPA information. Investigation of difference was </w:t>
      </w:r>
      <w:r w:rsidR="00057958" w:rsidRPr="001E166E">
        <w:rPr>
          <w:rFonts w:ascii="Times New Roman" w:hAnsi="Times New Roman" w:cs="Times New Roman"/>
          <w:sz w:val="24"/>
          <w:szCs w:val="24"/>
        </w:rPr>
        <w:t>utilized</w:t>
      </w:r>
      <w:r w:rsidRPr="001E166E">
        <w:rPr>
          <w:rFonts w:ascii="Times New Roman" w:hAnsi="Times New Roman" w:cs="Times New Roman"/>
          <w:sz w:val="24"/>
          <w:szCs w:val="24"/>
        </w:rPr>
        <w:t xml:space="preserve"> to </w:t>
      </w:r>
      <w:r w:rsidR="00057958" w:rsidRPr="001E166E">
        <w:rPr>
          <w:rFonts w:ascii="Times New Roman" w:hAnsi="Times New Roman" w:cs="Times New Roman"/>
          <w:sz w:val="24"/>
          <w:szCs w:val="24"/>
        </w:rPr>
        <w:t>analyze</w:t>
      </w:r>
      <w:r w:rsidRPr="001E166E">
        <w:rPr>
          <w:rFonts w:ascii="Times New Roman" w:hAnsi="Times New Roman" w:cs="Times New Roman"/>
          <w:sz w:val="24"/>
          <w:szCs w:val="24"/>
        </w:rPr>
        <w:t xml:space="preserve"> the relationship of BPA with age, sex, and BMI.</w:t>
      </w:r>
    </w:p>
    <w:p w:rsidR="004238BC" w:rsidRPr="001E166E" w:rsidRDefault="004238BC" w:rsidP="004238BC">
      <w:pPr>
        <w:spacing w:line="480" w:lineRule="auto"/>
        <w:ind w:firstLine="720"/>
        <w:rPr>
          <w:rFonts w:ascii="Times New Roman" w:hAnsi="Times New Roman" w:cs="Times New Roman"/>
          <w:sz w:val="24"/>
          <w:szCs w:val="24"/>
        </w:rPr>
      </w:pPr>
      <w:r w:rsidRPr="001E166E">
        <w:rPr>
          <w:rFonts w:ascii="Times New Roman" w:hAnsi="Times New Roman" w:cs="Times New Roman"/>
          <w:sz w:val="24"/>
          <w:szCs w:val="24"/>
        </w:rPr>
        <w:t xml:space="preserve">Because of the glucuronidation of BPA in the liver and its disposal by dynamic tubular emission, creatinine alteration may not be suitable for urine BPA concentration. Furthermore, BMI could anticipate the urine creatinine concentration, and subsequently, the relationship between urine BPA and BMI might be changed by creatinine modification. Rather, we </w:t>
      </w:r>
      <w:r w:rsidR="007771B6">
        <w:rPr>
          <w:rFonts w:ascii="Times New Roman" w:hAnsi="Times New Roman" w:cs="Times New Roman"/>
          <w:sz w:val="24"/>
          <w:szCs w:val="24"/>
        </w:rPr>
        <w:t xml:space="preserve">utilized </w:t>
      </w:r>
      <w:r w:rsidRPr="001E166E">
        <w:rPr>
          <w:rFonts w:ascii="Times New Roman" w:hAnsi="Times New Roman" w:cs="Times New Roman"/>
          <w:sz w:val="24"/>
          <w:szCs w:val="24"/>
        </w:rPr>
        <w:t xml:space="preserve">particular gravity (SG) to adjust for urinary weakening as prescribed by the National Health and Nutrition Examination Survey. SG was measured </w:t>
      </w:r>
      <w:r w:rsidR="00057958" w:rsidRPr="001E166E">
        <w:rPr>
          <w:rFonts w:ascii="Times New Roman" w:hAnsi="Times New Roman" w:cs="Times New Roman"/>
          <w:sz w:val="24"/>
          <w:szCs w:val="24"/>
        </w:rPr>
        <w:t>utilizing</w:t>
      </w:r>
      <w:r w:rsidRPr="001E166E">
        <w:rPr>
          <w:rFonts w:ascii="Times New Roman" w:hAnsi="Times New Roman" w:cs="Times New Roman"/>
          <w:sz w:val="24"/>
          <w:szCs w:val="24"/>
        </w:rPr>
        <w:t xml:space="preserve"> a handheld refractometer. The revision equation was Pc = P × [(1.024–1)/(SG–1)], where Pc is the SG-adjusted BPA </w:t>
      </w:r>
      <w:r w:rsidRPr="001E166E">
        <w:rPr>
          <w:rFonts w:ascii="Times New Roman" w:hAnsi="Times New Roman" w:cs="Times New Roman"/>
          <w:sz w:val="24"/>
          <w:szCs w:val="24"/>
        </w:rPr>
        <w:lastRenderedPageBreak/>
        <w:t>concentration (ng/mL), P is the test BPA focus (ng/mL), and SG is the particular gravity of urine test.</w:t>
      </w:r>
    </w:p>
    <w:p w:rsidR="004238BC" w:rsidRPr="001E166E" w:rsidRDefault="004238BC" w:rsidP="004238BC">
      <w:pPr>
        <w:spacing w:line="480" w:lineRule="auto"/>
        <w:ind w:firstLine="720"/>
        <w:rPr>
          <w:rFonts w:ascii="Times New Roman" w:hAnsi="Times New Roman" w:cs="Times New Roman"/>
          <w:sz w:val="24"/>
          <w:szCs w:val="24"/>
        </w:rPr>
      </w:pPr>
      <w:r w:rsidRPr="001E166E">
        <w:rPr>
          <w:rFonts w:ascii="Times New Roman" w:hAnsi="Times New Roman" w:cs="Times New Roman"/>
          <w:sz w:val="24"/>
          <w:szCs w:val="24"/>
        </w:rPr>
        <w:t xml:space="preserve">Since the circulation of BMI qualities was somewhat right skewed, a natural log-transformation was </w:t>
      </w:r>
      <w:r w:rsidR="00057958" w:rsidRPr="001E166E">
        <w:rPr>
          <w:rFonts w:ascii="Times New Roman" w:hAnsi="Times New Roman" w:cs="Times New Roman"/>
          <w:sz w:val="24"/>
          <w:szCs w:val="24"/>
        </w:rPr>
        <w:t>utilized</w:t>
      </w:r>
      <w:r w:rsidRPr="001E166E">
        <w:rPr>
          <w:rFonts w:ascii="Times New Roman" w:hAnsi="Times New Roman" w:cs="Times New Roman"/>
          <w:sz w:val="24"/>
          <w:szCs w:val="24"/>
        </w:rPr>
        <w:t xml:space="preserve"> to enhance the typic</w:t>
      </w:r>
      <w:r w:rsidR="007771B6">
        <w:rPr>
          <w:rFonts w:ascii="Times New Roman" w:hAnsi="Times New Roman" w:cs="Times New Roman"/>
          <w:sz w:val="24"/>
          <w:szCs w:val="24"/>
        </w:rPr>
        <w:t>al conveyance of BMI conditions,</w:t>
      </w:r>
      <w:r w:rsidR="007771B6" w:rsidRPr="001E166E">
        <w:rPr>
          <w:rFonts w:ascii="Times New Roman" w:hAnsi="Times New Roman" w:cs="Times New Roman"/>
          <w:sz w:val="24"/>
          <w:szCs w:val="24"/>
        </w:rPr>
        <w:t>and</w:t>
      </w:r>
      <w:r w:rsidRPr="001E166E">
        <w:rPr>
          <w:rFonts w:ascii="Times New Roman" w:hAnsi="Times New Roman" w:cs="Times New Roman"/>
          <w:sz w:val="24"/>
          <w:szCs w:val="24"/>
        </w:rPr>
        <w:t xml:space="preserve"> afterwards many direct relapse examinations were performed to concentrate the relationship of actually log-changed urinary BPA focuses or day </w:t>
      </w:r>
      <w:r w:rsidR="007771B6">
        <w:rPr>
          <w:rFonts w:ascii="Times New Roman" w:hAnsi="Times New Roman" w:cs="Times New Roman"/>
          <w:sz w:val="24"/>
          <w:szCs w:val="24"/>
        </w:rPr>
        <w:t>–</w:t>
      </w:r>
      <w:r w:rsidRPr="001E166E">
        <w:rPr>
          <w:rFonts w:ascii="Times New Roman" w:hAnsi="Times New Roman" w:cs="Times New Roman"/>
          <w:sz w:val="24"/>
          <w:szCs w:val="24"/>
        </w:rPr>
        <w:t>by</w:t>
      </w:r>
      <w:r w:rsidR="007771B6">
        <w:rPr>
          <w:rFonts w:ascii="Times New Roman" w:hAnsi="Times New Roman" w:cs="Times New Roman"/>
          <w:sz w:val="24"/>
          <w:szCs w:val="24"/>
        </w:rPr>
        <w:t>-</w:t>
      </w:r>
      <w:r w:rsidRPr="001E166E">
        <w:rPr>
          <w:rFonts w:ascii="Times New Roman" w:hAnsi="Times New Roman" w:cs="Times New Roman"/>
          <w:sz w:val="24"/>
          <w:szCs w:val="24"/>
        </w:rPr>
        <w:t xml:space="preserve"> day intake gauges with BMI values. It initially incorporated every one of the subjects in relapse models and after that directed age-and sex-stratified investigation prior and then afterwards considering for covariates. Urine BPA focuses and day </w:t>
      </w:r>
      <w:r w:rsidR="007771B6">
        <w:rPr>
          <w:rFonts w:ascii="Times New Roman" w:hAnsi="Times New Roman" w:cs="Times New Roman"/>
          <w:sz w:val="24"/>
          <w:szCs w:val="24"/>
        </w:rPr>
        <w:t>-</w:t>
      </w:r>
      <w:r w:rsidRPr="001E166E">
        <w:rPr>
          <w:rFonts w:ascii="Times New Roman" w:hAnsi="Times New Roman" w:cs="Times New Roman"/>
          <w:sz w:val="24"/>
          <w:szCs w:val="24"/>
        </w:rPr>
        <w:t xml:space="preserve">by </w:t>
      </w:r>
      <w:r w:rsidR="007771B6">
        <w:rPr>
          <w:rFonts w:ascii="Times New Roman" w:hAnsi="Times New Roman" w:cs="Times New Roman"/>
          <w:sz w:val="24"/>
          <w:szCs w:val="24"/>
        </w:rPr>
        <w:t>-</w:t>
      </w:r>
      <w:r w:rsidRPr="001E166E">
        <w:rPr>
          <w:rFonts w:ascii="Times New Roman" w:hAnsi="Times New Roman" w:cs="Times New Roman"/>
          <w:sz w:val="24"/>
          <w:szCs w:val="24"/>
        </w:rPr>
        <w:t xml:space="preserve">day consumption evaluations was </w:t>
      </w:r>
      <w:r w:rsidR="00057958" w:rsidRPr="001E166E">
        <w:rPr>
          <w:rFonts w:ascii="Times New Roman" w:hAnsi="Times New Roman" w:cs="Times New Roman"/>
          <w:sz w:val="24"/>
          <w:szCs w:val="24"/>
        </w:rPr>
        <w:t>analyzed</w:t>
      </w:r>
      <w:r w:rsidRPr="001E166E">
        <w:rPr>
          <w:rFonts w:ascii="Times New Roman" w:hAnsi="Times New Roman" w:cs="Times New Roman"/>
          <w:sz w:val="24"/>
          <w:szCs w:val="24"/>
        </w:rPr>
        <w:t xml:space="preserve"> before and after SG redress.</w:t>
      </w:r>
    </w:p>
    <w:p w:rsidR="004238BC" w:rsidRPr="001E166E" w:rsidRDefault="004238BC" w:rsidP="004238BC">
      <w:pPr>
        <w:spacing w:line="480" w:lineRule="auto"/>
        <w:ind w:firstLine="720"/>
        <w:rPr>
          <w:rFonts w:ascii="Times New Roman" w:hAnsi="Times New Roman" w:cs="Times New Roman"/>
          <w:sz w:val="24"/>
          <w:szCs w:val="24"/>
        </w:rPr>
      </w:pPr>
      <w:r w:rsidRPr="001E166E">
        <w:rPr>
          <w:rFonts w:ascii="Times New Roman" w:hAnsi="Times New Roman" w:cs="Times New Roman"/>
          <w:sz w:val="24"/>
          <w:szCs w:val="24"/>
        </w:rPr>
        <w:t xml:space="preserve">Investigations of fluctuation for mean contrasts in BMI and their 95% CIs between quartile 2, 3 or 4 and quartile 1 (reference) of urine BPA focus were done in all subjects or stratified by age and sex taking either age in year or sex into thought. Information investigations were performed </w:t>
      </w:r>
      <w:r w:rsidR="007771B6" w:rsidRPr="001E166E">
        <w:rPr>
          <w:rFonts w:ascii="Times New Roman" w:hAnsi="Times New Roman" w:cs="Times New Roman"/>
          <w:sz w:val="24"/>
          <w:szCs w:val="24"/>
        </w:rPr>
        <w:t>utilizing</w:t>
      </w:r>
      <w:r w:rsidRPr="001E166E">
        <w:rPr>
          <w:rFonts w:ascii="Times New Roman" w:hAnsi="Times New Roman" w:cs="Times New Roman"/>
          <w:sz w:val="24"/>
          <w:szCs w:val="24"/>
        </w:rPr>
        <w:t xml:space="preserve"> SPSS (adaptation 17; SPSS, Inc., Chicago, IL, USA); p &lt; 0.05 was viewed as noteworthy, and every single factual test was two-sided.</w:t>
      </w:r>
    </w:p>
    <w:p w:rsidR="004238BC" w:rsidRPr="001E166E" w:rsidRDefault="004238BC" w:rsidP="004238BC">
      <w:pPr>
        <w:spacing w:line="480" w:lineRule="auto"/>
        <w:rPr>
          <w:rFonts w:ascii="Times New Roman" w:hAnsi="Times New Roman" w:cs="Times New Roman"/>
          <w:sz w:val="24"/>
          <w:szCs w:val="24"/>
        </w:rPr>
      </w:pPr>
    </w:p>
    <w:p w:rsidR="004238BC" w:rsidRPr="001E166E" w:rsidRDefault="004238BC" w:rsidP="004238BC">
      <w:pPr>
        <w:spacing w:line="480" w:lineRule="auto"/>
        <w:rPr>
          <w:rFonts w:ascii="Times New Roman" w:hAnsi="Times New Roman" w:cs="Times New Roman"/>
          <w:sz w:val="24"/>
          <w:szCs w:val="24"/>
        </w:rPr>
      </w:pPr>
    </w:p>
    <w:p w:rsidR="004238BC" w:rsidRDefault="004238BC" w:rsidP="004238BC">
      <w:pPr>
        <w:spacing w:line="480" w:lineRule="auto"/>
        <w:rPr>
          <w:rFonts w:ascii="Times New Roman" w:hAnsi="Times New Roman" w:cs="Times New Roman"/>
          <w:sz w:val="24"/>
          <w:szCs w:val="24"/>
        </w:rPr>
      </w:pPr>
    </w:p>
    <w:p w:rsidR="00F95B93" w:rsidRDefault="00F95B93" w:rsidP="004238BC">
      <w:pPr>
        <w:spacing w:line="480" w:lineRule="auto"/>
        <w:jc w:val="center"/>
        <w:rPr>
          <w:rFonts w:ascii="Times New Roman" w:hAnsi="Times New Roman" w:cs="Times New Roman"/>
          <w:sz w:val="24"/>
          <w:szCs w:val="24"/>
        </w:rPr>
      </w:pPr>
    </w:p>
    <w:p w:rsidR="00F95B93" w:rsidRDefault="00F95B93" w:rsidP="004238BC">
      <w:pPr>
        <w:spacing w:line="480" w:lineRule="auto"/>
        <w:jc w:val="center"/>
        <w:rPr>
          <w:rFonts w:ascii="Times New Roman" w:hAnsi="Times New Roman" w:cs="Times New Roman"/>
          <w:sz w:val="24"/>
          <w:szCs w:val="24"/>
        </w:rPr>
      </w:pPr>
    </w:p>
    <w:p w:rsidR="00F95B93" w:rsidRDefault="00F95B93" w:rsidP="004238BC">
      <w:pPr>
        <w:spacing w:line="480" w:lineRule="auto"/>
        <w:jc w:val="center"/>
        <w:rPr>
          <w:rFonts w:ascii="Times New Roman" w:hAnsi="Times New Roman" w:cs="Times New Roman"/>
          <w:sz w:val="24"/>
          <w:szCs w:val="24"/>
        </w:rPr>
      </w:pPr>
    </w:p>
    <w:p w:rsidR="004238BC" w:rsidRPr="00F95B93" w:rsidRDefault="004238BC" w:rsidP="00F95B93">
      <w:pPr>
        <w:spacing w:line="480" w:lineRule="auto"/>
        <w:rPr>
          <w:rFonts w:ascii="Times New Roman" w:hAnsi="Times New Roman" w:cs="Times New Roman"/>
          <w:b/>
          <w:sz w:val="24"/>
          <w:szCs w:val="24"/>
        </w:rPr>
      </w:pPr>
      <w:r w:rsidRPr="00F95B93">
        <w:rPr>
          <w:rFonts w:ascii="Times New Roman" w:hAnsi="Times New Roman" w:cs="Times New Roman"/>
          <w:b/>
          <w:sz w:val="24"/>
          <w:szCs w:val="24"/>
        </w:rPr>
        <w:lastRenderedPageBreak/>
        <w:t>Results</w:t>
      </w:r>
    </w:p>
    <w:p w:rsidR="007771B6" w:rsidRDefault="004238BC" w:rsidP="00F95B93">
      <w:pPr>
        <w:spacing w:line="480" w:lineRule="auto"/>
        <w:ind w:firstLine="720"/>
        <w:rPr>
          <w:rFonts w:ascii="Times New Roman" w:hAnsi="Times New Roman" w:cs="Times New Roman"/>
          <w:sz w:val="24"/>
          <w:szCs w:val="24"/>
        </w:rPr>
      </w:pPr>
      <w:r w:rsidRPr="001E166E">
        <w:rPr>
          <w:rFonts w:ascii="Times New Roman" w:hAnsi="Times New Roman" w:cs="Times New Roman"/>
          <w:sz w:val="24"/>
          <w:szCs w:val="24"/>
        </w:rPr>
        <w:t>Of 360 qualified subjects, 53 did not give urine tests, and 48 gave urine tests</w:t>
      </w:r>
      <w:r w:rsidR="00C1550C">
        <w:rPr>
          <w:rFonts w:ascii="Times New Roman" w:hAnsi="Times New Roman" w:cs="Times New Roman"/>
          <w:sz w:val="24"/>
          <w:szCs w:val="24"/>
        </w:rPr>
        <w:t>,</w:t>
      </w:r>
      <w:r w:rsidRPr="001E166E">
        <w:rPr>
          <w:rFonts w:ascii="Times New Roman" w:hAnsi="Times New Roman" w:cs="Times New Roman"/>
          <w:sz w:val="24"/>
          <w:szCs w:val="24"/>
        </w:rPr>
        <w:t xml:space="preserve"> yet not first-morning urine. An aggregate of 259 subjects was incorporated into this review, and among them, 124 had normal weight, 53 were overweight, and 82 were obese (Table 1). The mean and standard deviation of weight, stature, and BMI in all subjects or by age or sex were recorded in</w:t>
      </w:r>
      <w:r w:rsidR="007771B6">
        <w:rPr>
          <w:rFonts w:ascii="Times New Roman" w:hAnsi="Times New Roman" w:cs="Times New Roman"/>
          <w:sz w:val="24"/>
          <w:szCs w:val="24"/>
        </w:rPr>
        <w:t xml:space="preserve"> the table below.</w:t>
      </w:r>
    </w:p>
    <w:p w:rsidR="004238BC" w:rsidRPr="001E166E" w:rsidRDefault="004238BC" w:rsidP="004238BC">
      <w:pPr>
        <w:spacing w:line="480" w:lineRule="auto"/>
        <w:rPr>
          <w:rFonts w:ascii="Times New Roman" w:hAnsi="Times New Roman" w:cs="Times New Roman"/>
          <w:b/>
          <w:sz w:val="24"/>
          <w:szCs w:val="24"/>
        </w:rPr>
      </w:pPr>
      <w:r w:rsidRPr="001E166E">
        <w:rPr>
          <w:rFonts w:ascii="Times New Roman" w:hAnsi="Times New Roman" w:cs="Times New Roman"/>
          <w:b/>
          <w:sz w:val="24"/>
          <w:szCs w:val="24"/>
        </w:rPr>
        <w:t>Table 1</w:t>
      </w:r>
    </w:p>
    <w:p w:rsidR="004238BC" w:rsidRPr="001E166E" w:rsidRDefault="004238BC" w:rsidP="004238BC">
      <w:pPr>
        <w:spacing w:line="480" w:lineRule="auto"/>
        <w:rPr>
          <w:rFonts w:ascii="Times New Roman" w:hAnsi="Times New Roman" w:cs="Times New Roman"/>
          <w:i/>
          <w:sz w:val="24"/>
          <w:szCs w:val="24"/>
        </w:rPr>
      </w:pPr>
      <w:r w:rsidRPr="001E166E">
        <w:rPr>
          <w:rFonts w:ascii="Times New Roman" w:hAnsi="Times New Roman" w:cs="Times New Roman"/>
          <w:i/>
          <w:sz w:val="24"/>
          <w:szCs w:val="24"/>
        </w:rPr>
        <w:t>Mean and standard deviation of weight, height, and body mass index (BMI) among study participants</w:t>
      </w:r>
    </w:p>
    <w:tbl>
      <w:tblPr>
        <w:tblW w:w="9175" w:type="dxa"/>
        <w:jc w:val="right"/>
        <w:shd w:val="clear" w:color="auto" w:fill="FFFFFF"/>
        <w:tblCellMar>
          <w:top w:w="15" w:type="dxa"/>
          <w:left w:w="15" w:type="dxa"/>
          <w:bottom w:w="15" w:type="dxa"/>
          <w:right w:w="15" w:type="dxa"/>
        </w:tblCellMar>
        <w:tblLook w:val="05A0"/>
      </w:tblPr>
      <w:tblGrid>
        <w:gridCol w:w="1685"/>
        <w:gridCol w:w="1782"/>
        <w:gridCol w:w="1782"/>
        <w:gridCol w:w="1782"/>
        <w:gridCol w:w="2144"/>
      </w:tblGrid>
      <w:tr w:rsidR="006F4229" w:rsidRPr="001E166E" w:rsidTr="006F4229">
        <w:trPr>
          <w:trHeight w:val="744"/>
          <w:tblHeader/>
          <w:jc w:val="right"/>
        </w:trPr>
        <w:tc>
          <w:tcPr>
            <w:tcW w:w="1685" w:type="dxa"/>
            <w:tcBorders>
              <w:top w:val="single" w:sz="6" w:space="0" w:color="DCDCDC"/>
              <w:left w:val="single" w:sz="6" w:space="0" w:color="DCDCDC"/>
              <w:bottom w:val="single" w:sz="6" w:space="0" w:color="DCDCDC"/>
              <w:right w:val="single" w:sz="6" w:space="0" w:color="DCDCDC"/>
            </w:tcBorders>
            <w:shd w:val="clear" w:color="auto" w:fill="EDEDED"/>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color w:val="333333"/>
                <w:sz w:val="24"/>
                <w:szCs w:val="24"/>
              </w:rPr>
            </w:pPr>
            <w:r w:rsidRPr="001E166E">
              <w:rPr>
                <w:rFonts w:ascii="Times New Roman" w:hAnsi="Times New Roman" w:cs="Times New Roman"/>
                <w:color w:val="333333"/>
                <w:sz w:val="24"/>
                <w:szCs w:val="24"/>
              </w:rPr>
              <w:t>Group</w:t>
            </w:r>
          </w:p>
        </w:tc>
        <w:tc>
          <w:tcPr>
            <w:tcW w:w="1782" w:type="dxa"/>
            <w:tcBorders>
              <w:top w:val="single" w:sz="6" w:space="0" w:color="DCDCDC"/>
              <w:left w:val="single" w:sz="6" w:space="0" w:color="DCDCDC"/>
              <w:bottom w:val="single" w:sz="6" w:space="0" w:color="DCDCDC"/>
              <w:right w:val="single" w:sz="6" w:space="0" w:color="DCDCDC"/>
            </w:tcBorders>
            <w:shd w:val="clear" w:color="auto" w:fill="EDEDED"/>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color w:val="333333"/>
                <w:sz w:val="24"/>
                <w:szCs w:val="24"/>
              </w:rPr>
            </w:pPr>
            <w:r w:rsidRPr="001E166E">
              <w:rPr>
                <w:rFonts w:ascii="Times New Roman" w:hAnsi="Times New Roman" w:cs="Times New Roman"/>
                <w:color w:val="333333"/>
                <w:sz w:val="24"/>
                <w:szCs w:val="24"/>
              </w:rPr>
              <w:t>No. (%)</w:t>
            </w:r>
          </w:p>
        </w:tc>
        <w:tc>
          <w:tcPr>
            <w:tcW w:w="1782" w:type="dxa"/>
            <w:tcBorders>
              <w:top w:val="single" w:sz="6" w:space="0" w:color="DCDCDC"/>
              <w:left w:val="single" w:sz="6" w:space="0" w:color="DCDCDC"/>
              <w:bottom w:val="single" w:sz="6" w:space="0" w:color="DCDCDC"/>
              <w:right w:val="single" w:sz="6" w:space="0" w:color="DCDCDC"/>
            </w:tcBorders>
            <w:shd w:val="clear" w:color="auto" w:fill="EDEDED"/>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color w:val="333333"/>
                <w:sz w:val="24"/>
                <w:szCs w:val="24"/>
              </w:rPr>
            </w:pPr>
            <w:r w:rsidRPr="001E166E">
              <w:rPr>
                <w:rFonts w:ascii="Times New Roman" w:hAnsi="Times New Roman" w:cs="Times New Roman"/>
                <w:color w:val="333333"/>
                <w:sz w:val="24"/>
                <w:szCs w:val="24"/>
              </w:rPr>
              <w:t>Weight (kg)</w:t>
            </w:r>
          </w:p>
        </w:tc>
        <w:tc>
          <w:tcPr>
            <w:tcW w:w="1782" w:type="dxa"/>
            <w:tcBorders>
              <w:top w:val="single" w:sz="6" w:space="0" w:color="DCDCDC"/>
              <w:left w:val="single" w:sz="6" w:space="0" w:color="DCDCDC"/>
              <w:bottom w:val="single" w:sz="6" w:space="0" w:color="DCDCDC"/>
              <w:right w:val="single" w:sz="6" w:space="0" w:color="DCDCDC"/>
            </w:tcBorders>
            <w:shd w:val="clear" w:color="auto" w:fill="EDEDED"/>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color w:val="333333"/>
                <w:sz w:val="24"/>
                <w:szCs w:val="24"/>
              </w:rPr>
            </w:pPr>
            <w:r w:rsidRPr="001E166E">
              <w:rPr>
                <w:rFonts w:ascii="Times New Roman" w:hAnsi="Times New Roman" w:cs="Times New Roman"/>
                <w:color w:val="333333"/>
                <w:sz w:val="24"/>
                <w:szCs w:val="24"/>
              </w:rPr>
              <w:t>Height (m)</w:t>
            </w:r>
          </w:p>
        </w:tc>
        <w:tc>
          <w:tcPr>
            <w:tcW w:w="2144" w:type="dxa"/>
            <w:tcBorders>
              <w:top w:val="single" w:sz="6" w:space="0" w:color="DCDCDC"/>
              <w:left w:val="single" w:sz="6" w:space="0" w:color="DCDCDC"/>
              <w:bottom w:val="single" w:sz="6" w:space="0" w:color="DCDCDC"/>
              <w:right w:val="single" w:sz="6" w:space="0" w:color="DCDCDC"/>
            </w:tcBorders>
            <w:shd w:val="clear" w:color="auto" w:fill="EDEDED"/>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color w:val="333333"/>
                <w:sz w:val="24"/>
                <w:szCs w:val="24"/>
              </w:rPr>
            </w:pPr>
            <w:r w:rsidRPr="001E166E">
              <w:rPr>
                <w:rFonts w:ascii="Times New Roman" w:hAnsi="Times New Roman" w:cs="Times New Roman"/>
                <w:color w:val="333333"/>
                <w:sz w:val="24"/>
                <w:szCs w:val="24"/>
              </w:rPr>
              <w:t>BMI (kg/m</w:t>
            </w:r>
            <w:r w:rsidRPr="001E166E">
              <w:rPr>
                <w:rFonts w:ascii="Times New Roman" w:hAnsi="Times New Roman" w:cs="Times New Roman"/>
                <w:color w:val="333333"/>
                <w:sz w:val="24"/>
                <w:szCs w:val="24"/>
                <w:vertAlign w:val="superscript"/>
              </w:rPr>
              <w:t>2</w:t>
            </w:r>
            <w:r w:rsidRPr="001E166E">
              <w:rPr>
                <w:rFonts w:ascii="Times New Roman" w:hAnsi="Times New Roman" w:cs="Times New Roman"/>
                <w:color w:val="333333"/>
                <w:sz w:val="24"/>
                <w:szCs w:val="24"/>
              </w:rPr>
              <w:t>)</w:t>
            </w:r>
          </w:p>
        </w:tc>
      </w:tr>
      <w:tr w:rsidR="006F4229" w:rsidRPr="001E166E" w:rsidTr="006F4229">
        <w:trPr>
          <w:trHeight w:val="144"/>
          <w:jc w:val="right"/>
        </w:trPr>
        <w:tc>
          <w:tcPr>
            <w:tcW w:w="1685"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All</w:t>
            </w:r>
          </w:p>
        </w:tc>
        <w:tc>
          <w:tcPr>
            <w:tcW w:w="1782"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259 (100.0)</w:t>
            </w:r>
          </w:p>
        </w:tc>
        <w:tc>
          <w:tcPr>
            <w:tcW w:w="1782"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47.4 ± 16.5</w:t>
            </w:r>
          </w:p>
        </w:tc>
        <w:tc>
          <w:tcPr>
            <w:tcW w:w="1782"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1.47 ± 0.13</w:t>
            </w:r>
          </w:p>
        </w:tc>
        <w:tc>
          <w:tcPr>
            <w:tcW w:w="2144"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21.3 ± 4.6</w:t>
            </w:r>
          </w:p>
        </w:tc>
      </w:tr>
      <w:tr w:rsidR="006F4229" w:rsidRPr="001E166E" w:rsidTr="006F4229">
        <w:trPr>
          <w:trHeight w:val="144"/>
          <w:jc w:val="right"/>
        </w:trPr>
        <w:tc>
          <w:tcPr>
            <w:tcW w:w="1685"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Age (years)</w:t>
            </w:r>
          </w:p>
        </w:tc>
        <w:tc>
          <w:tcPr>
            <w:tcW w:w="1782"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 </w:t>
            </w:r>
          </w:p>
        </w:tc>
        <w:tc>
          <w:tcPr>
            <w:tcW w:w="1782"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 </w:t>
            </w:r>
          </w:p>
        </w:tc>
        <w:tc>
          <w:tcPr>
            <w:tcW w:w="1782"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 </w:t>
            </w:r>
          </w:p>
        </w:tc>
        <w:tc>
          <w:tcPr>
            <w:tcW w:w="2144"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 </w:t>
            </w:r>
          </w:p>
        </w:tc>
      </w:tr>
      <w:tr w:rsidR="006F4229" w:rsidRPr="001E166E" w:rsidTr="006F4229">
        <w:trPr>
          <w:trHeight w:val="144"/>
          <w:jc w:val="right"/>
        </w:trPr>
        <w:tc>
          <w:tcPr>
            <w:tcW w:w="1685"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8-9</w:t>
            </w:r>
            <w:r w:rsidRPr="001E166E">
              <w:rPr>
                <w:rFonts w:ascii="Times New Roman" w:hAnsi="Times New Roman" w:cs="Times New Roman"/>
                <w:sz w:val="24"/>
                <w:szCs w:val="24"/>
              </w:rPr>
              <w:t> </w:t>
            </w:r>
            <w:r w:rsidRPr="001E166E">
              <w:rPr>
                <w:rFonts w:ascii="Times New Roman" w:hAnsi="Times New Roman" w:cs="Times New Roman"/>
                <w:sz w:val="24"/>
                <w:szCs w:val="24"/>
              </w:rPr>
              <w:t> </w:t>
            </w:r>
          </w:p>
        </w:tc>
        <w:tc>
          <w:tcPr>
            <w:tcW w:w="1782"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64 (24.7)</w:t>
            </w:r>
          </w:p>
        </w:tc>
        <w:tc>
          <w:tcPr>
            <w:tcW w:w="1782"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32.5 ± 9.3</w:t>
            </w:r>
          </w:p>
        </w:tc>
        <w:tc>
          <w:tcPr>
            <w:tcW w:w="1782"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1.31 ± 0.06</w:t>
            </w:r>
          </w:p>
        </w:tc>
        <w:tc>
          <w:tcPr>
            <w:tcW w:w="2144"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18.7 ± 4.0</w:t>
            </w:r>
          </w:p>
        </w:tc>
      </w:tr>
      <w:tr w:rsidR="006F4229" w:rsidRPr="001E166E" w:rsidTr="006F4229">
        <w:trPr>
          <w:trHeight w:val="144"/>
          <w:jc w:val="right"/>
        </w:trPr>
        <w:tc>
          <w:tcPr>
            <w:tcW w:w="1685"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10-11</w:t>
            </w:r>
            <w:r w:rsidRPr="001E166E">
              <w:rPr>
                <w:rFonts w:ascii="Times New Roman" w:hAnsi="Times New Roman" w:cs="Times New Roman"/>
                <w:sz w:val="24"/>
                <w:szCs w:val="24"/>
              </w:rPr>
              <w:t> </w:t>
            </w:r>
            <w:r w:rsidRPr="001E166E">
              <w:rPr>
                <w:rFonts w:ascii="Times New Roman" w:hAnsi="Times New Roman" w:cs="Times New Roman"/>
                <w:sz w:val="24"/>
                <w:szCs w:val="24"/>
              </w:rPr>
              <w:t> </w:t>
            </w:r>
          </w:p>
        </w:tc>
        <w:tc>
          <w:tcPr>
            <w:tcW w:w="1782"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80 (30.9)</w:t>
            </w:r>
          </w:p>
        </w:tc>
        <w:tc>
          <w:tcPr>
            <w:tcW w:w="1782"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43.6 ± 11.2</w:t>
            </w:r>
          </w:p>
        </w:tc>
        <w:tc>
          <w:tcPr>
            <w:tcW w:w="1782"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1.45 ± 0.08</w:t>
            </w:r>
          </w:p>
        </w:tc>
        <w:tc>
          <w:tcPr>
            <w:tcW w:w="2144"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20.5 ± 3.7</w:t>
            </w:r>
          </w:p>
        </w:tc>
      </w:tr>
      <w:tr w:rsidR="006F4229" w:rsidRPr="001E166E" w:rsidTr="006F4229">
        <w:trPr>
          <w:trHeight w:val="144"/>
          <w:jc w:val="right"/>
        </w:trPr>
        <w:tc>
          <w:tcPr>
            <w:tcW w:w="1685"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12-13</w:t>
            </w:r>
            <w:r w:rsidRPr="001E166E">
              <w:rPr>
                <w:rFonts w:ascii="Times New Roman" w:hAnsi="Times New Roman" w:cs="Times New Roman"/>
                <w:sz w:val="24"/>
                <w:szCs w:val="24"/>
              </w:rPr>
              <w:t> </w:t>
            </w:r>
            <w:r w:rsidRPr="001E166E">
              <w:rPr>
                <w:rFonts w:ascii="Times New Roman" w:hAnsi="Times New Roman" w:cs="Times New Roman"/>
                <w:sz w:val="24"/>
                <w:szCs w:val="24"/>
              </w:rPr>
              <w:t> </w:t>
            </w:r>
          </w:p>
        </w:tc>
        <w:tc>
          <w:tcPr>
            <w:tcW w:w="1782"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75 (29.0)</w:t>
            </w:r>
          </w:p>
        </w:tc>
        <w:tc>
          <w:tcPr>
            <w:tcW w:w="1782"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54.6 ± 14.9</w:t>
            </w:r>
          </w:p>
        </w:tc>
        <w:tc>
          <w:tcPr>
            <w:tcW w:w="1782"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1.55 ± 0.09</w:t>
            </w:r>
          </w:p>
        </w:tc>
        <w:tc>
          <w:tcPr>
            <w:tcW w:w="2144"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22.3 ± 4.4</w:t>
            </w:r>
          </w:p>
        </w:tc>
      </w:tr>
      <w:tr w:rsidR="006F4229" w:rsidRPr="001E166E" w:rsidTr="006F4229">
        <w:trPr>
          <w:trHeight w:val="144"/>
          <w:jc w:val="right"/>
        </w:trPr>
        <w:tc>
          <w:tcPr>
            <w:tcW w:w="1685"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14-15</w:t>
            </w:r>
            <w:r w:rsidRPr="001E166E">
              <w:rPr>
                <w:rFonts w:ascii="Times New Roman" w:hAnsi="Times New Roman" w:cs="Times New Roman"/>
                <w:sz w:val="24"/>
                <w:szCs w:val="24"/>
              </w:rPr>
              <w:t> </w:t>
            </w:r>
            <w:r w:rsidRPr="001E166E">
              <w:rPr>
                <w:rFonts w:ascii="Times New Roman" w:hAnsi="Times New Roman" w:cs="Times New Roman"/>
                <w:sz w:val="24"/>
                <w:szCs w:val="24"/>
              </w:rPr>
              <w:t> </w:t>
            </w:r>
          </w:p>
        </w:tc>
        <w:tc>
          <w:tcPr>
            <w:tcW w:w="1782"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40 (15.4)</w:t>
            </w:r>
          </w:p>
        </w:tc>
        <w:tc>
          <w:tcPr>
            <w:tcW w:w="1782"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65.6 ± 12.9</w:t>
            </w:r>
          </w:p>
        </w:tc>
        <w:tc>
          <w:tcPr>
            <w:tcW w:w="1782"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1.62 ± 0.07</w:t>
            </w:r>
          </w:p>
        </w:tc>
        <w:tc>
          <w:tcPr>
            <w:tcW w:w="2144"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25.0 ± 4.6</w:t>
            </w:r>
          </w:p>
        </w:tc>
      </w:tr>
      <w:tr w:rsidR="006F4229" w:rsidRPr="001E166E" w:rsidTr="006F4229">
        <w:trPr>
          <w:trHeight w:val="144"/>
          <w:jc w:val="right"/>
        </w:trPr>
        <w:tc>
          <w:tcPr>
            <w:tcW w:w="1685"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Sex</w:t>
            </w:r>
          </w:p>
        </w:tc>
        <w:tc>
          <w:tcPr>
            <w:tcW w:w="1782"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 </w:t>
            </w:r>
          </w:p>
        </w:tc>
        <w:tc>
          <w:tcPr>
            <w:tcW w:w="1782"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 </w:t>
            </w:r>
          </w:p>
        </w:tc>
        <w:tc>
          <w:tcPr>
            <w:tcW w:w="1782"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 </w:t>
            </w:r>
          </w:p>
        </w:tc>
        <w:tc>
          <w:tcPr>
            <w:tcW w:w="2144"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 </w:t>
            </w:r>
          </w:p>
        </w:tc>
      </w:tr>
      <w:tr w:rsidR="006F4229" w:rsidRPr="001E166E" w:rsidTr="006F4229">
        <w:trPr>
          <w:trHeight w:val="744"/>
          <w:jc w:val="right"/>
        </w:trPr>
        <w:tc>
          <w:tcPr>
            <w:tcW w:w="1685"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lastRenderedPageBreak/>
              <w:t>Female</w:t>
            </w:r>
            <w:r w:rsidRPr="001E166E">
              <w:rPr>
                <w:rFonts w:ascii="Times New Roman" w:hAnsi="Times New Roman" w:cs="Times New Roman"/>
                <w:sz w:val="24"/>
                <w:szCs w:val="24"/>
              </w:rPr>
              <w:t> </w:t>
            </w:r>
            <w:r w:rsidRPr="001E166E">
              <w:rPr>
                <w:rFonts w:ascii="Times New Roman" w:hAnsi="Times New Roman" w:cs="Times New Roman"/>
                <w:sz w:val="24"/>
                <w:szCs w:val="24"/>
              </w:rPr>
              <w:t> </w:t>
            </w:r>
          </w:p>
        </w:tc>
        <w:tc>
          <w:tcPr>
            <w:tcW w:w="1782"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129 (49.8)</w:t>
            </w:r>
          </w:p>
        </w:tc>
        <w:tc>
          <w:tcPr>
            <w:tcW w:w="1782"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47.3 ± 15.1</w:t>
            </w:r>
          </w:p>
        </w:tc>
        <w:tc>
          <w:tcPr>
            <w:tcW w:w="1782"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1.48 ± 0.12</w:t>
            </w:r>
          </w:p>
        </w:tc>
        <w:tc>
          <w:tcPr>
            <w:tcW w:w="2144"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21.1 ± 4.3</w:t>
            </w:r>
          </w:p>
        </w:tc>
      </w:tr>
      <w:tr w:rsidR="006F4229" w:rsidRPr="001E166E" w:rsidTr="006F4229">
        <w:trPr>
          <w:trHeight w:val="764"/>
          <w:jc w:val="right"/>
        </w:trPr>
        <w:tc>
          <w:tcPr>
            <w:tcW w:w="1685"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Male</w:t>
            </w:r>
            <w:r w:rsidRPr="001E166E">
              <w:rPr>
                <w:rFonts w:ascii="Times New Roman" w:hAnsi="Times New Roman" w:cs="Times New Roman"/>
                <w:sz w:val="24"/>
                <w:szCs w:val="24"/>
              </w:rPr>
              <w:t> </w:t>
            </w:r>
            <w:r w:rsidRPr="001E166E">
              <w:rPr>
                <w:rFonts w:ascii="Times New Roman" w:hAnsi="Times New Roman" w:cs="Times New Roman"/>
                <w:sz w:val="24"/>
                <w:szCs w:val="24"/>
              </w:rPr>
              <w:t> </w:t>
            </w:r>
          </w:p>
        </w:tc>
        <w:tc>
          <w:tcPr>
            <w:tcW w:w="1782"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130 (50.2)</w:t>
            </w:r>
          </w:p>
        </w:tc>
        <w:tc>
          <w:tcPr>
            <w:tcW w:w="1782"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47.6 ± 17.9</w:t>
            </w:r>
          </w:p>
        </w:tc>
        <w:tc>
          <w:tcPr>
            <w:tcW w:w="1782"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1.46 ± 0.14</w:t>
            </w:r>
          </w:p>
        </w:tc>
        <w:tc>
          <w:tcPr>
            <w:tcW w:w="2144"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21.4 ± 4.9</w:t>
            </w:r>
          </w:p>
        </w:tc>
      </w:tr>
      <w:tr w:rsidR="006F4229" w:rsidRPr="001E166E" w:rsidTr="006F4229">
        <w:trPr>
          <w:trHeight w:val="744"/>
          <w:jc w:val="right"/>
        </w:trPr>
        <w:tc>
          <w:tcPr>
            <w:tcW w:w="1685"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BMI</w:t>
            </w:r>
          </w:p>
        </w:tc>
        <w:tc>
          <w:tcPr>
            <w:tcW w:w="1782"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 </w:t>
            </w:r>
          </w:p>
        </w:tc>
        <w:tc>
          <w:tcPr>
            <w:tcW w:w="1782"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 </w:t>
            </w:r>
          </w:p>
        </w:tc>
        <w:tc>
          <w:tcPr>
            <w:tcW w:w="1782"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 </w:t>
            </w:r>
          </w:p>
        </w:tc>
        <w:tc>
          <w:tcPr>
            <w:tcW w:w="2144"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 </w:t>
            </w:r>
          </w:p>
        </w:tc>
      </w:tr>
      <w:tr w:rsidR="006F4229" w:rsidRPr="001E166E" w:rsidTr="006F4229">
        <w:trPr>
          <w:trHeight w:val="744"/>
          <w:jc w:val="right"/>
        </w:trPr>
        <w:tc>
          <w:tcPr>
            <w:tcW w:w="1685"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Normal weight</w:t>
            </w:r>
            <w:r w:rsidRPr="001E166E">
              <w:rPr>
                <w:rFonts w:ascii="Times New Roman" w:hAnsi="Times New Roman" w:cs="Times New Roman"/>
                <w:sz w:val="24"/>
                <w:szCs w:val="24"/>
              </w:rPr>
              <w:t> </w:t>
            </w:r>
            <w:r w:rsidRPr="001E166E">
              <w:rPr>
                <w:rFonts w:ascii="Times New Roman" w:hAnsi="Times New Roman" w:cs="Times New Roman"/>
                <w:sz w:val="24"/>
                <w:szCs w:val="24"/>
              </w:rPr>
              <w:t> </w:t>
            </w:r>
          </w:p>
        </w:tc>
        <w:tc>
          <w:tcPr>
            <w:tcW w:w="1782"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124 (47.9)</w:t>
            </w:r>
          </w:p>
        </w:tc>
        <w:tc>
          <w:tcPr>
            <w:tcW w:w="1782"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36.7 ± 10.9</w:t>
            </w:r>
          </w:p>
        </w:tc>
        <w:tc>
          <w:tcPr>
            <w:tcW w:w="1782"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1.44 ± 0.14</w:t>
            </w:r>
          </w:p>
        </w:tc>
        <w:tc>
          <w:tcPr>
            <w:tcW w:w="2144"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17.4 ± 2.1</w:t>
            </w:r>
          </w:p>
        </w:tc>
      </w:tr>
      <w:tr w:rsidR="006F4229" w:rsidRPr="001E166E" w:rsidTr="006F4229">
        <w:trPr>
          <w:trHeight w:val="764"/>
          <w:jc w:val="right"/>
        </w:trPr>
        <w:tc>
          <w:tcPr>
            <w:tcW w:w="1685"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Overweight</w:t>
            </w:r>
            <w:r w:rsidRPr="001E166E">
              <w:rPr>
                <w:rFonts w:ascii="Times New Roman" w:hAnsi="Times New Roman" w:cs="Times New Roman"/>
                <w:sz w:val="24"/>
                <w:szCs w:val="24"/>
              </w:rPr>
              <w:t> </w:t>
            </w:r>
            <w:r w:rsidRPr="001E166E">
              <w:rPr>
                <w:rFonts w:ascii="Times New Roman" w:hAnsi="Times New Roman" w:cs="Times New Roman"/>
                <w:sz w:val="24"/>
                <w:szCs w:val="24"/>
              </w:rPr>
              <w:t> </w:t>
            </w:r>
          </w:p>
        </w:tc>
        <w:tc>
          <w:tcPr>
            <w:tcW w:w="1782"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53 (20.4)</w:t>
            </w:r>
          </w:p>
        </w:tc>
        <w:tc>
          <w:tcPr>
            <w:tcW w:w="1782"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52.8 ± 12.5</w:t>
            </w:r>
          </w:p>
        </w:tc>
        <w:tc>
          <w:tcPr>
            <w:tcW w:w="1782"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1.50 ± 0.13</w:t>
            </w:r>
          </w:p>
        </w:tc>
        <w:tc>
          <w:tcPr>
            <w:tcW w:w="2144"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23.0 ± 1.9</w:t>
            </w:r>
          </w:p>
        </w:tc>
      </w:tr>
      <w:tr w:rsidR="006F4229" w:rsidRPr="001E166E" w:rsidTr="006F4229">
        <w:trPr>
          <w:trHeight w:val="744"/>
          <w:jc w:val="right"/>
        </w:trPr>
        <w:tc>
          <w:tcPr>
            <w:tcW w:w="1685"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Obesity</w:t>
            </w:r>
          </w:p>
        </w:tc>
        <w:tc>
          <w:tcPr>
            <w:tcW w:w="1782"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82 (31.7)</w:t>
            </w:r>
          </w:p>
        </w:tc>
        <w:tc>
          <w:tcPr>
            <w:tcW w:w="1782"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60.1 ± 15.3</w:t>
            </w:r>
          </w:p>
        </w:tc>
        <w:tc>
          <w:tcPr>
            <w:tcW w:w="1782"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1.50 ± 0.12</w:t>
            </w:r>
          </w:p>
        </w:tc>
        <w:tc>
          <w:tcPr>
            <w:tcW w:w="2144"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26.0 ± 3.2</w:t>
            </w:r>
          </w:p>
        </w:tc>
      </w:tr>
    </w:tbl>
    <w:p w:rsidR="004238BC" w:rsidRDefault="004238BC" w:rsidP="004238BC">
      <w:pPr>
        <w:spacing w:line="480" w:lineRule="auto"/>
        <w:ind w:firstLine="720"/>
        <w:rPr>
          <w:rFonts w:ascii="Times New Roman" w:hAnsi="Times New Roman" w:cs="Times New Roman"/>
          <w:sz w:val="24"/>
          <w:szCs w:val="24"/>
        </w:rPr>
      </w:pPr>
    </w:p>
    <w:p w:rsidR="004238BC" w:rsidRPr="001E166E" w:rsidRDefault="004238BC" w:rsidP="004238BC">
      <w:pPr>
        <w:spacing w:line="480" w:lineRule="auto"/>
        <w:ind w:firstLine="720"/>
        <w:rPr>
          <w:rFonts w:ascii="Times New Roman" w:hAnsi="Times New Roman" w:cs="Times New Roman"/>
          <w:sz w:val="24"/>
          <w:szCs w:val="24"/>
        </w:rPr>
      </w:pPr>
      <w:r w:rsidRPr="001E166E">
        <w:rPr>
          <w:rFonts w:ascii="Times New Roman" w:hAnsi="Times New Roman" w:cs="Times New Roman"/>
          <w:sz w:val="24"/>
          <w:szCs w:val="24"/>
        </w:rPr>
        <w:t xml:space="preserve">As appearing in Table 2, BPA was </w:t>
      </w:r>
      <w:r w:rsidR="00057958" w:rsidRPr="001E166E">
        <w:rPr>
          <w:rFonts w:ascii="Times New Roman" w:hAnsi="Times New Roman" w:cs="Times New Roman"/>
          <w:sz w:val="24"/>
          <w:szCs w:val="24"/>
        </w:rPr>
        <w:t>recognized</w:t>
      </w:r>
      <w:r w:rsidRPr="001E166E">
        <w:rPr>
          <w:rFonts w:ascii="Times New Roman" w:hAnsi="Times New Roman" w:cs="Times New Roman"/>
          <w:sz w:val="24"/>
          <w:szCs w:val="24"/>
        </w:rPr>
        <w:t xml:space="preserve"> in 84.9% of urine tests with a GM of 0.45 ng/mL and a middle of 0.60 ng/mL. The day</w:t>
      </w:r>
      <w:r w:rsidR="007771B6">
        <w:rPr>
          <w:rFonts w:ascii="Times New Roman" w:hAnsi="Times New Roman" w:cs="Times New Roman"/>
          <w:sz w:val="24"/>
          <w:szCs w:val="24"/>
        </w:rPr>
        <w:t>-</w:t>
      </w:r>
      <w:r w:rsidRPr="001E166E">
        <w:rPr>
          <w:rFonts w:ascii="Times New Roman" w:hAnsi="Times New Roman" w:cs="Times New Roman"/>
          <w:sz w:val="24"/>
          <w:szCs w:val="24"/>
        </w:rPr>
        <w:t xml:space="preserve"> by</w:t>
      </w:r>
      <w:r w:rsidR="007771B6">
        <w:rPr>
          <w:rFonts w:ascii="Times New Roman" w:hAnsi="Times New Roman" w:cs="Times New Roman"/>
          <w:sz w:val="24"/>
          <w:szCs w:val="24"/>
        </w:rPr>
        <w:t>-</w:t>
      </w:r>
      <w:r w:rsidRPr="001E166E">
        <w:rPr>
          <w:rFonts w:ascii="Times New Roman" w:hAnsi="Times New Roman" w:cs="Times New Roman"/>
          <w:sz w:val="24"/>
          <w:szCs w:val="24"/>
        </w:rPr>
        <w:t xml:space="preserve"> day intake gauges extended from 0.03 μg/day to 1.96 μg/day with a GM of 0.37 μg/day. The normal levels of the urine BPA concentrations and the day</w:t>
      </w:r>
      <w:r w:rsidR="007771B6">
        <w:rPr>
          <w:rFonts w:ascii="Times New Roman" w:hAnsi="Times New Roman" w:cs="Times New Roman"/>
          <w:sz w:val="24"/>
          <w:szCs w:val="24"/>
        </w:rPr>
        <w:t>-</w:t>
      </w:r>
      <w:r w:rsidRPr="001E166E">
        <w:rPr>
          <w:rFonts w:ascii="Times New Roman" w:hAnsi="Times New Roman" w:cs="Times New Roman"/>
          <w:sz w:val="24"/>
          <w:szCs w:val="24"/>
        </w:rPr>
        <w:t xml:space="preserve"> by</w:t>
      </w:r>
      <w:r w:rsidR="007771B6">
        <w:rPr>
          <w:rFonts w:ascii="Times New Roman" w:hAnsi="Times New Roman" w:cs="Times New Roman"/>
          <w:sz w:val="24"/>
          <w:szCs w:val="24"/>
        </w:rPr>
        <w:t>-</w:t>
      </w:r>
      <w:r w:rsidRPr="001E166E">
        <w:rPr>
          <w:rFonts w:ascii="Times New Roman" w:hAnsi="Times New Roman" w:cs="Times New Roman"/>
          <w:sz w:val="24"/>
          <w:szCs w:val="24"/>
        </w:rPr>
        <w:t xml:space="preserve"> day intake evaluations were comparative in young men, and young ladies yet were altogether higher in older </w:t>
      </w:r>
      <w:r w:rsidR="007771B6">
        <w:rPr>
          <w:rFonts w:ascii="Times New Roman" w:hAnsi="Times New Roman" w:cs="Times New Roman"/>
          <w:sz w:val="24"/>
          <w:szCs w:val="24"/>
        </w:rPr>
        <w:t>children</w:t>
      </w:r>
      <w:r w:rsidRPr="001E166E">
        <w:rPr>
          <w:rFonts w:ascii="Times New Roman" w:hAnsi="Times New Roman" w:cs="Times New Roman"/>
          <w:sz w:val="24"/>
          <w:szCs w:val="24"/>
        </w:rPr>
        <w:t xml:space="preserve"> than the younger ones. Urine BPA concentration and everyday consumption gauges increased with BMI after alteration for sex and age. A couple of correlations demonstrated that normal urine BPA concentrations and day</w:t>
      </w:r>
      <w:r w:rsidR="007771B6">
        <w:rPr>
          <w:rFonts w:ascii="Times New Roman" w:hAnsi="Times New Roman" w:cs="Times New Roman"/>
          <w:sz w:val="24"/>
          <w:szCs w:val="24"/>
        </w:rPr>
        <w:t>-</w:t>
      </w:r>
      <w:r w:rsidRPr="001E166E">
        <w:rPr>
          <w:rFonts w:ascii="Times New Roman" w:hAnsi="Times New Roman" w:cs="Times New Roman"/>
          <w:sz w:val="24"/>
          <w:szCs w:val="24"/>
        </w:rPr>
        <w:t xml:space="preserve"> by</w:t>
      </w:r>
      <w:r w:rsidR="007771B6">
        <w:rPr>
          <w:rFonts w:ascii="Times New Roman" w:hAnsi="Times New Roman" w:cs="Times New Roman"/>
          <w:sz w:val="24"/>
          <w:szCs w:val="24"/>
        </w:rPr>
        <w:t>-</w:t>
      </w:r>
      <w:r w:rsidRPr="001E166E">
        <w:rPr>
          <w:rFonts w:ascii="Times New Roman" w:hAnsi="Times New Roman" w:cs="Times New Roman"/>
          <w:sz w:val="24"/>
          <w:szCs w:val="24"/>
        </w:rPr>
        <w:t xml:space="preserve"> day use evaluations were necessarily higher in the obese team than the regular weight gathering. The adjusted mean difference was 0.658 (95% CI: 0.195, 1.120, p = 0.006) for generally log-transformed urine BPA and was 0.642 (95% CI: 0.161, 1.122, p = 0.009) for the log-transformed </w:t>
      </w:r>
      <w:r w:rsidRPr="001E166E">
        <w:rPr>
          <w:rFonts w:ascii="Times New Roman" w:hAnsi="Times New Roman" w:cs="Times New Roman"/>
          <w:sz w:val="24"/>
          <w:szCs w:val="24"/>
        </w:rPr>
        <w:lastRenderedPageBreak/>
        <w:t xml:space="preserve">day by day intake assess. </w:t>
      </w:r>
      <w:r w:rsidR="007771B6">
        <w:rPr>
          <w:rFonts w:ascii="Times New Roman" w:hAnsi="Times New Roman" w:cs="Times New Roman"/>
          <w:sz w:val="24"/>
          <w:szCs w:val="24"/>
        </w:rPr>
        <w:t>However</w:t>
      </w:r>
      <w:r w:rsidRPr="001E166E">
        <w:rPr>
          <w:rFonts w:ascii="Times New Roman" w:hAnsi="Times New Roman" w:cs="Times New Roman"/>
          <w:sz w:val="24"/>
          <w:szCs w:val="24"/>
        </w:rPr>
        <w:t>, there was no remarkable contrast between the overweight group and the normal weight group or between the fat ones and the overweight ones.</w:t>
      </w:r>
    </w:p>
    <w:p w:rsidR="004238BC" w:rsidRPr="001E166E" w:rsidRDefault="004238BC" w:rsidP="004238BC">
      <w:pPr>
        <w:spacing w:line="480" w:lineRule="auto"/>
        <w:rPr>
          <w:rFonts w:ascii="Times New Roman" w:hAnsi="Times New Roman" w:cs="Times New Roman"/>
          <w:b/>
          <w:sz w:val="24"/>
          <w:szCs w:val="24"/>
        </w:rPr>
      </w:pPr>
      <w:r w:rsidRPr="001E166E">
        <w:rPr>
          <w:rFonts w:ascii="Times New Roman" w:hAnsi="Times New Roman" w:cs="Times New Roman"/>
          <w:b/>
          <w:sz w:val="24"/>
          <w:szCs w:val="24"/>
        </w:rPr>
        <w:t>Table 2</w:t>
      </w:r>
    </w:p>
    <w:p w:rsidR="004238BC" w:rsidRPr="001E166E" w:rsidRDefault="004238BC" w:rsidP="004238BC">
      <w:pPr>
        <w:spacing w:line="480" w:lineRule="auto"/>
        <w:rPr>
          <w:rFonts w:ascii="Times New Roman" w:hAnsi="Times New Roman" w:cs="Times New Roman"/>
          <w:i/>
          <w:sz w:val="24"/>
          <w:szCs w:val="24"/>
        </w:rPr>
      </w:pPr>
      <w:r w:rsidRPr="001E166E">
        <w:rPr>
          <w:rFonts w:ascii="Times New Roman" w:hAnsi="Times New Roman" w:cs="Times New Roman"/>
          <w:bCs/>
          <w:i/>
          <w:sz w:val="24"/>
          <w:szCs w:val="24"/>
        </w:rPr>
        <w:t>Urine (BPA) concentrations (ng/mL) and daily intake figures (μg/day) among participants</w:t>
      </w:r>
    </w:p>
    <w:tbl>
      <w:tblPr>
        <w:tblW w:w="10646" w:type="dxa"/>
        <w:shd w:val="clear" w:color="auto" w:fill="FFFFFF"/>
        <w:tblCellMar>
          <w:top w:w="15" w:type="dxa"/>
          <w:left w:w="15" w:type="dxa"/>
          <w:bottom w:w="15" w:type="dxa"/>
          <w:right w:w="15" w:type="dxa"/>
        </w:tblCellMar>
        <w:tblLook w:val="04A0"/>
      </w:tblPr>
      <w:tblGrid>
        <w:gridCol w:w="1080"/>
        <w:gridCol w:w="1373"/>
        <w:gridCol w:w="1187"/>
        <w:gridCol w:w="1300"/>
        <w:gridCol w:w="1201"/>
        <w:gridCol w:w="680"/>
        <w:gridCol w:w="680"/>
        <w:gridCol w:w="680"/>
        <w:gridCol w:w="1240"/>
        <w:gridCol w:w="1225"/>
      </w:tblGrid>
      <w:tr w:rsidR="006F4229" w:rsidRPr="001E166E" w:rsidTr="006F4229">
        <w:trPr>
          <w:trHeight w:val="113"/>
          <w:tblHeader/>
        </w:trPr>
        <w:tc>
          <w:tcPr>
            <w:tcW w:w="0" w:type="auto"/>
            <w:tcBorders>
              <w:top w:val="single" w:sz="6" w:space="0" w:color="DCDCDC"/>
              <w:left w:val="single" w:sz="6" w:space="0" w:color="DCDCDC"/>
              <w:bottom w:val="single" w:sz="6" w:space="0" w:color="DCDCDC"/>
              <w:right w:val="single" w:sz="6" w:space="0" w:color="DCDCDC"/>
            </w:tcBorders>
            <w:shd w:val="clear" w:color="auto" w:fill="EDEDED"/>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b/>
                <w:bCs/>
                <w:color w:val="333333"/>
                <w:sz w:val="24"/>
                <w:szCs w:val="24"/>
              </w:rPr>
            </w:pPr>
            <w:r w:rsidRPr="001E166E">
              <w:rPr>
                <w:rFonts w:ascii="Times New Roman" w:hAnsi="Times New Roman" w:cs="Times New Roman"/>
                <w:b/>
                <w:bCs/>
                <w:color w:val="333333"/>
                <w:sz w:val="24"/>
                <w:szCs w:val="24"/>
              </w:rPr>
              <w:t> </w:t>
            </w:r>
          </w:p>
        </w:tc>
        <w:tc>
          <w:tcPr>
            <w:tcW w:w="1373" w:type="dxa"/>
            <w:tcBorders>
              <w:top w:val="single" w:sz="6" w:space="0" w:color="DCDCDC"/>
              <w:left w:val="single" w:sz="6" w:space="0" w:color="DCDCDC"/>
              <w:bottom w:val="single" w:sz="6" w:space="0" w:color="DCDCDC"/>
              <w:right w:val="single" w:sz="6" w:space="0" w:color="DCDCDC"/>
            </w:tcBorders>
            <w:shd w:val="clear" w:color="auto" w:fill="EDEDED"/>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b/>
                <w:bCs/>
                <w:color w:val="333333"/>
                <w:sz w:val="24"/>
                <w:szCs w:val="24"/>
              </w:rPr>
            </w:pPr>
            <w:r w:rsidRPr="001E166E">
              <w:rPr>
                <w:rFonts w:ascii="Times New Roman" w:hAnsi="Times New Roman" w:cs="Times New Roman"/>
                <w:b/>
                <w:bCs/>
                <w:color w:val="333333"/>
                <w:sz w:val="24"/>
                <w:szCs w:val="24"/>
              </w:rPr>
              <w:t>Group</w:t>
            </w:r>
          </w:p>
        </w:tc>
        <w:tc>
          <w:tcPr>
            <w:tcW w:w="2487" w:type="dxa"/>
            <w:gridSpan w:val="2"/>
            <w:tcBorders>
              <w:top w:val="single" w:sz="6" w:space="0" w:color="DCDCDC"/>
              <w:left w:val="single" w:sz="6" w:space="0" w:color="DCDCDC"/>
              <w:bottom w:val="single" w:sz="6" w:space="0" w:color="DCDCDC"/>
              <w:right w:val="single" w:sz="6" w:space="0" w:color="DCDCDC"/>
            </w:tcBorders>
            <w:shd w:val="clear" w:color="auto" w:fill="EDEDED"/>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b/>
                <w:bCs/>
                <w:color w:val="333333"/>
                <w:sz w:val="24"/>
                <w:szCs w:val="24"/>
              </w:rPr>
            </w:pPr>
            <w:r w:rsidRPr="001E166E">
              <w:rPr>
                <w:rFonts w:ascii="Times New Roman" w:hAnsi="Times New Roman" w:cs="Times New Roman"/>
                <w:b/>
                <w:bCs/>
                <w:color w:val="333333"/>
                <w:sz w:val="24"/>
                <w:szCs w:val="24"/>
              </w:rPr>
              <w:t>Geometric mean (95%CI)</w:t>
            </w:r>
            <w:r w:rsidRPr="001E166E">
              <w:rPr>
                <w:rFonts w:ascii="Times New Roman" w:hAnsi="Times New Roman" w:cs="Times New Roman"/>
                <w:b/>
                <w:bCs/>
                <w:color w:val="333333"/>
                <w:sz w:val="24"/>
                <w:szCs w:val="24"/>
              </w:rPr>
              <w:t> </w:t>
            </w:r>
          </w:p>
        </w:tc>
        <w:tc>
          <w:tcPr>
            <w:tcW w:w="4481" w:type="dxa"/>
            <w:gridSpan w:val="5"/>
            <w:tcBorders>
              <w:top w:val="single" w:sz="6" w:space="0" w:color="DCDCDC"/>
              <w:left w:val="single" w:sz="6" w:space="0" w:color="DCDCDC"/>
              <w:bottom w:val="single" w:sz="6" w:space="0" w:color="DCDCDC"/>
              <w:right w:val="single" w:sz="6" w:space="0" w:color="DCDCDC"/>
            </w:tcBorders>
            <w:shd w:val="clear" w:color="auto" w:fill="EDEDED"/>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b/>
                <w:bCs/>
                <w:color w:val="333333"/>
                <w:sz w:val="24"/>
                <w:szCs w:val="24"/>
              </w:rPr>
            </w:pPr>
            <w:r w:rsidRPr="001E166E">
              <w:rPr>
                <w:rFonts w:ascii="Times New Roman" w:hAnsi="Times New Roman" w:cs="Times New Roman"/>
                <w:b/>
                <w:bCs/>
                <w:color w:val="333333"/>
                <w:sz w:val="24"/>
                <w:szCs w:val="24"/>
              </w:rPr>
              <w:t>Percentile (not corrected by SG)</w:t>
            </w:r>
            <w:r w:rsidRPr="001E166E">
              <w:rPr>
                <w:rFonts w:ascii="Times New Roman" w:hAnsi="Times New Roman" w:cs="Times New Roman"/>
                <w:b/>
                <w:bCs/>
                <w:color w:val="333333"/>
                <w:sz w:val="24"/>
                <w:szCs w:val="24"/>
              </w:rPr>
              <w:t> </w:t>
            </w:r>
            <w:r w:rsidRPr="001E166E">
              <w:rPr>
                <w:rFonts w:ascii="Times New Roman" w:hAnsi="Times New Roman" w:cs="Times New Roman"/>
                <w:b/>
                <w:bCs/>
                <w:color w:val="333333"/>
                <w:sz w:val="24"/>
                <w:szCs w:val="24"/>
              </w:rPr>
              <w:t> </w:t>
            </w:r>
            <w:r w:rsidRPr="001E166E">
              <w:rPr>
                <w:rFonts w:ascii="Times New Roman" w:hAnsi="Times New Roman" w:cs="Times New Roman"/>
                <w:b/>
                <w:bCs/>
                <w:color w:val="333333"/>
                <w:sz w:val="24"/>
                <w:szCs w:val="24"/>
              </w:rPr>
              <w:t> </w:t>
            </w:r>
          </w:p>
        </w:tc>
        <w:tc>
          <w:tcPr>
            <w:tcW w:w="1225" w:type="dxa"/>
            <w:tcBorders>
              <w:top w:val="single" w:sz="6" w:space="0" w:color="DCDCDC"/>
              <w:left w:val="single" w:sz="6" w:space="0" w:color="DCDCDC"/>
              <w:bottom w:val="single" w:sz="6" w:space="0" w:color="DCDCDC"/>
              <w:right w:val="single" w:sz="6" w:space="0" w:color="DCDCDC"/>
            </w:tcBorders>
            <w:shd w:val="clear" w:color="auto" w:fill="EDEDED"/>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b/>
                <w:bCs/>
                <w:color w:val="333333"/>
                <w:sz w:val="24"/>
                <w:szCs w:val="24"/>
              </w:rPr>
            </w:pPr>
            <w:r w:rsidRPr="001E166E">
              <w:rPr>
                <w:rFonts w:ascii="Times New Roman" w:hAnsi="Times New Roman" w:cs="Times New Roman"/>
                <w:b/>
                <w:bCs/>
                <w:color w:val="333333"/>
                <w:sz w:val="24"/>
                <w:szCs w:val="24"/>
              </w:rPr>
              <w:t>p-Value</w:t>
            </w:r>
          </w:p>
        </w:tc>
      </w:tr>
      <w:tr w:rsidR="006F4229" w:rsidRPr="001E166E" w:rsidTr="006F4229">
        <w:trPr>
          <w:trHeight w:val="1274"/>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 </w:t>
            </w:r>
          </w:p>
        </w:tc>
        <w:tc>
          <w:tcPr>
            <w:tcW w:w="1373"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 </w:t>
            </w:r>
          </w:p>
        </w:tc>
        <w:tc>
          <w:tcPr>
            <w:tcW w:w="1187"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Corrected by SG</w:t>
            </w:r>
          </w:p>
        </w:tc>
        <w:tc>
          <w:tcPr>
            <w:tcW w:w="1300"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Not corrected by SG</w:t>
            </w:r>
          </w:p>
        </w:tc>
        <w:tc>
          <w:tcPr>
            <w:tcW w:w="1201"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Minimum</w:t>
            </w:r>
          </w:p>
        </w:tc>
        <w:tc>
          <w:tcPr>
            <w:tcW w:w="680"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25%</w:t>
            </w:r>
          </w:p>
        </w:tc>
        <w:tc>
          <w:tcPr>
            <w:tcW w:w="680"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50%</w:t>
            </w:r>
          </w:p>
        </w:tc>
        <w:tc>
          <w:tcPr>
            <w:tcW w:w="680"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75%</w:t>
            </w:r>
          </w:p>
        </w:tc>
        <w:tc>
          <w:tcPr>
            <w:tcW w:w="1240"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Maximum</w:t>
            </w:r>
          </w:p>
        </w:tc>
        <w:tc>
          <w:tcPr>
            <w:tcW w:w="1225"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 </w:t>
            </w:r>
          </w:p>
        </w:tc>
      </w:tr>
      <w:tr w:rsidR="006F4229" w:rsidRPr="001E166E" w:rsidTr="006F4229">
        <w:trPr>
          <w:trHeight w:val="1182"/>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Urine BPA</w:t>
            </w:r>
          </w:p>
        </w:tc>
        <w:tc>
          <w:tcPr>
            <w:tcW w:w="1373"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All</w:t>
            </w:r>
          </w:p>
        </w:tc>
        <w:tc>
          <w:tcPr>
            <w:tcW w:w="1187"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0.40 (0.33, 0.49)</w:t>
            </w:r>
          </w:p>
        </w:tc>
        <w:tc>
          <w:tcPr>
            <w:tcW w:w="1300"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0.45 (0.37, 0.55)</w:t>
            </w:r>
          </w:p>
        </w:tc>
        <w:tc>
          <w:tcPr>
            <w:tcW w:w="1201"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0.05</w:t>
            </w:r>
          </w:p>
        </w:tc>
        <w:tc>
          <w:tcPr>
            <w:tcW w:w="680"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0.2</w:t>
            </w:r>
          </w:p>
        </w:tc>
        <w:tc>
          <w:tcPr>
            <w:tcW w:w="680"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0.6</w:t>
            </w:r>
          </w:p>
        </w:tc>
        <w:tc>
          <w:tcPr>
            <w:tcW w:w="680"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1.37</w:t>
            </w:r>
          </w:p>
        </w:tc>
        <w:tc>
          <w:tcPr>
            <w:tcW w:w="1240"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16.3</w:t>
            </w:r>
          </w:p>
        </w:tc>
        <w:tc>
          <w:tcPr>
            <w:tcW w:w="1225"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 </w:t>
            </w:r>
          </w:p>
        </w:tc>
      </w:tr>
      <w:tr w:rsidR="006F4229" w:rsidRPr="001E166E" w:rsidTr="006F4229">
        <w:trPr>
          <w:trHeight w:val="113"/>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Daily intake estimate</w:t>
            </w:r>
          </w:p>
        </w:tc>
        <w:tc>
          <w:tcPr>
            <w:tcW w:w="1373"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All</w:t>
            </w:r>
          </w:p>
        </w:tc>
        <w:tc>
          <w:tcPr>
            <w:tcW w:w="1187"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0.33 (0.27, 0.41)</w:t>
            </w:r>
          </w:p>
        </w:tc>
        <w:tc>
          <w:tcPr>
            <w:tcW w:w="1300"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0.37 (0.29,0.45)</w:t>
            </w:r>
          </w:p>
        </w:tc>
        <w:tc>
          <w:tcPr>
            <w:tcW w:w="1201"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0.03</w:t>
            </w:r>
          </w:p>
        </w:tc>
        <w:tc>
          <w:tcPr>
            <w:tcW w:w="680"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0.12</w:t>
            </w:r>
          </w:p>
        </w:tc>
        <w:tc>
          <w:tcPr>
            <w:tcW w:w="680"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0.48</w:t>
            </w:r>
          </w:p>
        </w:tc>
        <w:tc>
          <w:tcPr>
            <w:tcW w:w="680"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1.26</w:t>
            </w:r>
          </w:p>
        </w:tc>
        <w:tc>
          <w:tcPr>
            <w:tcW w:w="1240"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1.96</w:t>
            </w:r>
          </w:p>
        </w:tc>
        <w:tc>
          <w:tcPr>
            <w:tcW w:w="1225"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 </w:t>
            </w:r>
          </w:p>
        </w:tc>
      </w:tr>
      <w:tr w:rsidR="006F4229" w:rsidRPr="001E166E" w:rsidTr="006F4229">
        <w:trPr>
          <w:trHeight w:val="113"/>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 </w:t>
            </w:r>
          </w:p>
        </w:tc>
        <w:tc>
          <w:tcPr>
            <w:tcW w:w="1373"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Age (years)</w:t>
            </w:r>
          </w:p>
        </w:tc>
        <w:tc>
          <w:tcPr>
            <w:tcW w:w="1187"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 </w:t>
            </w:r>
          </w:p>
        </w:tc>
        <w:tc>
          <w:tcPr>
            <w:tcW w:w="1300"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 </w:t>
            </w:r>
          </w:p>
        </w:tc>
        <w:tc>
          <w:tcPr>
            <w:tcW w:w="1201"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 </w:t>
            </w:r>
          </w:p>
        </w:tc>
        <w:tc>
          <w:tcPr>
            <w:tcW w:w="680"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 </w:t>
            </w:r>
          </w:p>
        </w:tc>
        <w:tc>
          <w:tcPr>
            <w:tcW w:w="680"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 </w:t>
            </w:r>
          </w:p>
        </w:tc>
        <w:tc>
          <w:tcPr>
            <w:tcW w:w="680"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 </w:t>
            </w:r>
          </w:p>
        </w:tc>
        <w:tc>
          <w:tcPr>
            <w:tcW w:w="1240"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 </w:t>
            </w:r>
          </w:p>
        </w:tc>
        <w:tc>
          <w:tcPr>
            <w:tcW w:w="1225"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 </w:t>
            </w:r>
          </w:p>
        </w:tc>
      </w:tr>
      <w:tr w:rsidR="006F4229" w:rsidRPr="001E166E" w:rsidTr="006F4229">
        <w:trPr>
          <w:trHeight w:val="113"/>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Urine BPA</w:t>
            </w:r>
          </w:p>
        </w:tc>
        <w:tc>
          <w:tcPr>
            <w:tcW w:w="1373"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8-11</w:t>
            </w:r>
          </w:p>
        </w:tc>
        <w:tc>
          <w:tcPr>
            <w:tcW w:w="1187"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 xml:space="preserve">0.32 (0.25, </w:t>
            </w:r>
            <w:r w:rsidRPr="001E166E">
              <w:rPr>
                <w:rFonts w:ascii="Times New Roman" w:hAnsi="Times New Roman" w:cs="Times New Roman"/>
                <w:sz w:val="24"/>
                <w:szCs w:val="24"/>
              </w:rPr>
              <w:lastRenderedPageBreak/>
              <w:t>0.43)</w:t>
            </w:r>
          </w:p>
        </w:tc>
        <w:tc>
          <w:tcPr>
            <w:tcW w:w="1300"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lastRenderedPageBreak/>
              <w:t>0.31 (0.23, 0.41)</w:t>
            </w:r>
          </w:p>
        </w:tc>
        <w:tc>
          <w:tcPr>
            <w:tcW w:w="1201"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0.05</w:t>
            </w:r>
          </w:p>
        </w:tc>
        <w:tc>
          <w:tcPr>
            <w:tcW w:w="680"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0.1</w:t>
            </w:r>
          </w:p>
        </w:tc>
        <w:tc>
          <w:tcPr>
            <w:tcW w:w="680"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0.35</w:t>
            </w:r>
          </w:p>
        </w:tc>
        <w:tc>
          <w:tcPr>
            <w:tcW w:w="680"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1.05</w:t>
            </w:r>
          </w:p>
        </w:tc>
        <w:tc>
          <w:tcPr>
            <w:tcW w:w="1240"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14.00</w:t>
            </w:r>
          </w:p>
        </w:tc>
        <w:tc>
          <w:tcPr>
            <w:tcW w:w="1225"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P&lt;0.001</w:t>
            </w:r>
            <w:r w:rsidRPr="001E166E">
              <w:rPr>
                <w:rFonts w:ascii="Times New Roman" w:hAnsi="Times New Roman" w:cs="Times New Roman"/>
                <w:sz w:val="24"/>
                <w:szCs w:val="24"/>
                <w:vertAlign w:val="superscript"/>
              </w:rPr>
              <w:t>a</w:t>
            </w:r>
          </w:p>
        </w:tc>
      </w:tr>
      <w:tr w:rsidR="006F4229" w:rsidRPr="001E166E" w:rsidTr="006F4229">
        <w:trPr>
          <w:trHeight w:val="113"/>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lastRenderedPageBreak/>
              <w:t> </w:t>
            </w:r>
          </w:p>
        </w:tc>
        <w:tc>
          <w:tcPr>
            <w:tcW w:w="1373"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12-15</w:t>
            </w:r>
          </w:p>
        </w:tc>
        <w:tc>
          <w:tcPr>
            <w:tcW w:w="1187"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0.53 (0.40, 0.70)</w:t>
            </w:r>
          </w:p>
        </w:tc>
        <w:tc>
          <w:tcPr>
            <w:tcW w:w="1300"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0.72 (0.54, 0.94)</w:t>
            </w:r>
          </w:p>
        </w:tc>
        <w:tc>
          <w:tcPr>
            <w:tcW w:w="1201"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0.05</w:t>
            </w:r>
          </w:p>
        </w:tc>
        <w:tc>
          <w:tcPr>
            <w:tcW w:w="680"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0.35</w:t>
            </w:r>
          </w:p>
        </w:tc>
        <w:tc>
          <w:tcPr>
            <w:tcW w:w="680"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0.85</w:t>
            </w:r>
          </w:p>
        </w:tc>
        <w:tc>
          <w:tcPr>
            <w:tcW w:w="680"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1.91</w:t>
            </w:r>
          </w:p>
        </w:tc>
        <w:tc>
          <w:tcPr>
            <w:tcW w:w="1240"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16.3</w:t>
            </w:r>
          </w:p>
        </w:tc>
        <w:tc>
          <w:tcPr>
            <w:tcW w:w="1225"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 </w:t>
            </w:r>
          </w:p>
        </w:tc>
      </w:tr>
      <w:tr w:rsidR="006F4229" w:rsidRPr="001E166E" w:rsidTr="006F4229">
        <w:trPr>
          <w:trHeight w:val="113"/>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 xml:space="preserve">Daily intake </w:t>
            </w:r>
            <w:r>
              <w:rPr>
                <w:rFonts w:ascii="Times New Roman" w:hAnsi="Times New Roman" w:cs="Times New Roman"/>
                <w:sz w:val="24"/>
                <w:szCs w:val="24"/>
              </w:rPr>
              <w:t>E</w:t>
            </w:r>
            <w:r w:rsidRPr="001E166E">
              <w:rPr>
                <w:rFonts w:ascii="Times New Roman" w:hAnsi="Times New Roman" w:cs="Times New Roman"/>
                <w:sz w:val="24"/>
                <w:szCs w:val="24"/>
              </w:rPr>
              <w:t>stimate</w:t>
            </w:r>
          </w:p>
        </w:tc>
        <w:tc>
          <w:tcPr>
            <w:tcW w:w="1373"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8-11</w:t>
            </w:r>
          </w:p>
        </w:tc>
        <w:tc>
          <w:tcPr>
            <w:tcW w:w="1187"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0.19 (0.15, 0.25)</w:t>
            </w:r>
          </w:p>
        </w:tc>
        <w:tc>
          <w:tcPr>
            <w:tcW w:w="1300"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0.19 (0.14,0.24)</w:t>
            </w:r>
          </w:p>
        </w:tc>
        <w:tc>
          <w:tcPr>
            <w:tcW w:w="1201"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0.03</w:t>
            </w:r>
          </w:p>
        </w:tc>
        <w:tc>
          <w:tcPr>
            <w:tcW w:w="680"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0.06</w:t>
            </w:r>
          </w:p>
        </w:tc>
        <w:tc>
          <w:tcPr>
            <w:tcW w:w="680"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0.21</w:t>
            </w:r>
          </w:p>
        </w:tc>
        <w:tc>
          <w:tcPr>
            <w:tcW w:w="680"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0.63</w:t>
            </w:r>
          </w:p>
        </w:tc>
        <w:tc>
          <w:tcPr>
            <w:tcW w:w="1240"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8.64</w:t>
            </w:r>
          </w:p>
        </w:tc>
        <w:tc>
          <w:tcPr>
            <w:tcW w:w="1225"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P&lt;0.001</w:t>
            </w:r>
            <w:r w:rsidRPr="001E166E">
              <w:rPr>
                <w:rFonts w:ascii="Times New Roman" w:hAnsi="Times New Roman" w:cs="Times New Roman"/>
                <w:sz w:val="24"/>
                <w:szCs w:val="24"/>
                <w:vertAlign w:val="superscript"/>
              </w:rPr>
              <w:t>a</w:t>
            </w:r>
          </w:p>
        </w:tc>
      </w:tr>
      <w:tr w:rsidR="006F4229" w:rsidRPr="001E166E" w:rsidTr="006F4229">
        <w:trPr>
          <w:trHeight w:val="113"/>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 </w:t>
            </w:r>
          </w:p>
        </w:tc>
        <w:tc>
          <w:tcPr>
            <w:tcW w:w="1373"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12-15</w:t>
            </w:r>
          </w:p>
        </w:tc>
        <w:tc>
          <w:tcPr>
            <w:tcW w:w="1187"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0.63 (0.48, 0.84)</w:t>
            </w:r>
          </w:p>
        </w:tc>
        <w:tc>
          <w:tcPr>
            <w:tcW w:w="1300"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0.86 (0.65,1.13)</w:t>
            </w:r>
          </w:p>
        </w:tc>
        <w:tc>
          <w:tcPr>
            <w:tcW w:w="1201"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0.06</w:t>
            </w:r>
          </w:p>
        </w:tc>
        <w:tc>
          <w:tcPr>
            <w:tcW w:w="680"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0.42</w:t>
            </w:r>
          </w:p>
        </w:tc>
        <w:tc>
          <w:tcPr>
            <w:tcW w:w="680"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1.02</w:t>
            </w:r>
          </w:p>
        </w:tc>
        <w:tc>
          <w:tcPr>
            <w:tcW w:w="680"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2.30</w:t>
            </w:r>
          </w:p>
        </w:tc>
        <w:tc>
          <w:tcPr>
            <w:tcW w:w="1240"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19.56</w:t>
            </w:r>
          </w:p>
        </w:tc>
        <w:tc>
          <w:tcPr>
            <w:tcW w:w="1225"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 </w:t>
            </w:r>
          </w:p>
        </w:tc>
      </w:tr>
      <w:tr w:rsidR="006F4229" w:rsidRPr="001E166E" w:rsidTr="006F4229">
        <w:trPr>
          <w:trHeight w:val="113"/>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 </w:t>
            </w:r>
          </w:p>
        </w:tc>
        <w:tc>
          <w:tcPr>
            <w:tcW w:w="1373"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Sex</w:t>
            </w:r>
          </w:p>
        </w:tc>
        <w:tc>
          <w:tcPr>
            <w:tcW w:w="1187"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 </w:t>
            </w:r>
          </w:p>
        </w:tc>
        <w:tc>
          <w:tcPr>
            <w:tcW w:w="1300"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 </w:t>
            </w:r>
          </w:p>
        </w:tc>
        <w:tc>
          <w:tcPr>
            <w:tcW w:w="1201"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 </w:t>
            </w:r>
          </w:p>
        </w:tc>
        <w:tc>
          <w:tcPr>
            <w:tcW w:w="680"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 </w:t>
            </w:r>
          </w:p>
        </w:tc>
        <w:tc>
          <w:tcPr>
            <w:tcW w:w="680"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 </w:t>
            </w:r>
          </w:p>
        </w:tc>
        <w:tc>
          <w:tcPr>
            <w:tcW w:w="680"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 </w:t>
            </w:r>
          </w:p>
        </w:tc>
        <w:tc>
          <w:tcPr>
            <w:tcW w:w="1240"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 </w:t>
            </w:r>
          </w:p>
        </w:tc>
        <w:tc>
          <w:tcPr>
            <w:tcW w:w="1225"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 </w:t>
            </w:r>
          </w:p>
        </w:tc>
      </w:tr>
      <w:tr w:rsidR="006F4229" w:rsidRPr="001E166E" w:rsidTr="006F4229">
        <w:trPr>
          <w:trHeight w:val="113"/>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Urine BPA</w:t>
            </w:r>
          </w:p>
        </w:tc>
        <w:tc>
          <w:tcPr>
            <w:tcW w:w="1373"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Female</w:t>
            </w:r>
          </w:p>
        </w:tc>
        <w:tc>
          <w:tcPr>
            <w:tcW w:w="1187"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0.43 (0.33, 0.58)</w:t>
            </w:r>
          </w:p>
        </w:tc>
        <w:tc>
          <w:tcPr>
            <w:tcW w:w="1300"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0.46 (0.35, 0.63)</w:t>
            </w:r>
          </w:p>
        </w:tc>
        <w:tc>
          <w:tcPr>
            <w:tcW w:w="1201"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0.05</w:t>
            </w:r>
          </w:p>
        </w:tc>
        <w:tc>
          <w:tcPr>
            <w:tcW w:w="680"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0.2</w:t>
            </w:r>
          </w:p>
        </w:tc>
        <w:tc>
          <w:tcPr>
            <w:tcW w:w="680"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0.55</w:t>
            </w:r>
          </w:p>
        </w:tc>
        <w:tc>
          <w:tcPr>
            <w:tcW w:w="680"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1.48</w:t>
            </w:r>
          </w:p>
        </w:tc>
        <w:tc>
          <w:tcPr>
            <w:tcW w:w="1240"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16.30</w:t>
            </w:r>
          </w:p>
        </w:tc>
        <w:tc>
          <w:tcPr>
            <w:tcW w:w="1225"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P = 0.812</w:t>
            </w:r>
            <w:r w:rsidRPr="001E166E">
              <w:rPr>
                <w:rFonts w:ascii="Times New Roman" w:hAnsi="Times New Roman" w:cs="Times New Roman"/>
                <w:sz w:val="24"/>
                <w:szCs w:val="24"/>
                <w:vertAlign w:val="superscript"/>
              </w:rPr>
              <w:t>b</w:t>
            </w:r>
          </w:p>
        </w:tc>
      </w:tr>
      <w:tr w:rsidR="006F4229" w:rsidRPr="001E166E" w:rsidTr="006F4229">
        <w:trPr>
          <w:trHeight w:val="1466"/>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 </w:t>
            </w:r>
          </w:p>
        </w:tc>
        <w:tc>
          <w:tcPr>
            <w:tcW w:w="1373"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Male</w:t>
            </w:r>
          </w:p>
        </w:tc>
        <w:tc>
          <w:tcPr>
            <w:tcW w:w="1187"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 xml:space="preserve">0.38 (0.29, </w:t>
            </w:r>
            <w:r w:rsidRPr="001E166E">
              <w:rPr>
                <w:rFonts w:ascii="Times New Roman" w:hAnsi="Times New Roman" w:cs="Times New Roman"/>
                <w:sz w:val="24"/>
                <w:szCs w:val="24"/>
              </w:rPr>
              <w:lastRenderedPageBreak/>
              <w:t>0.50)</w:t>
            </w:r>
          </w:p>
        </w:tc>
        <w:tc>
          <w:tcPr>
            <w:tcW w:w="1300"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lastRenderedPageBreak/>
              <w:t>0.43 (0.33, 0.58)</w:t>
            </w:r>
          </w:p>
        </w:tc>
        <w:tc>
          <w:tcPr>
            <w:tcW w:w="1201"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0.05</w:t>
            </w:r>
          </w:p>
        </w:tc>
        <w:tc>
          <w:tcPr>
            <w:tcW w:w="680"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0.2</w:t>
            </w:r>
          </w:p>
        </w:tc>
        <w:tc>
          <w:tcPr>
            <w:tcW w:w="680"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0.63</w:t>
            </w:r>
          </w:p>
        </w:tc>
        <w:tc>
          <w:tcPr>
            <w:tcW w:w="680"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1.2</w:t>
            </w:r>
          </w:p>
        </w:tc>
        <w:tc>
          <w:tcPr>
            <w:tcW w:w="1240"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10.90</w:t>
            </w:r>
          </w:p>
        </w:tc>
        <w:tc>
          <w:tcPr>
            <w:tcW w:w="1225"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 </w:t>
            </w:r>
          </w:p>
        </w:tc>
      </w:tr>
      <w:tr w:rsidR="006F4229" w:rsidRPr="001E166E" w:rsidTr="006F4229">
        <w:trPr>
          <w:trHeight w:val="1450"/>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lastRenderedPageBreak/>
              <w:t>Daily intake estimate</w:t>
            </w:r>
          </w:p>
        </w:tc>
        <w:tc>
          <w:tcPr>
            <w:tcW w:w="1373"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Female</w:t>
            </w:r>
          </w:p>
        </w:tc>
        <w:tc>
          <w:tcPr>
            <w:tcW w:w="1187"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0.35 (0.26, 0.48)</w:t>
            </w:r>
          </w:p>
        </w:tc>
        <w:tc>
          <w:tcPr>
            <w:tcW w:w="1300"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0.38 (0.28,0.52)</w:t>
            </w:r>
          </w:p>
        </w:tc>
        <w:tc>
          <w:tcPr>
            <w:tcW w:w="1201"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0.03</w:t>
            </w:r>
          </w:p>
        </w:tc>
        <w:tc>
          <w:tcPr>
            <w:tcW w:w="680"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0.12</w:t>
            </w:r>
          </w:p>
        </w:tc>
        <w:tc>
          <w:tcPr>
            <w:tcW w:w="680"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0.48</w:t>
            </w:r>
          </w:p>
        </w:tc>
        <w:tc>
          <w:tcPr>
            <w:tcW w:w="680"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1.47</w:t>
            </w:r>
          </w:p>
        </w:tc>
        <w:tc>
          <w:tcPr>
            <w:tcW w:w="1240"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19.56</w:t>
            </w:r>
          </w:p>
        </w:tc>
        <w:tc>
          <w:tcPr>
            <w:tcW w:w="1225"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P = 0.939</w:t>
            </w:r>
            <w:r w:rsidRPr="001E166E">
              <w:rPr>
                <w:rFonts w:ascii="Times New Roman" w:hAnsi="Times New Roman" w:cs="Times New Roman"/>
                <w:sz w:val="24"/>
                <w:szCs w:val="24"/>
                <w:vertAlign w:val="superscript"/>
              </w:rPr>
              <w:t>b</w:t>
            </w:r>
          </w:p>
        </w:tc>
      </w:tr>
      <w:tr w:rsidR="006F4229" w:rsidRPr="001E166E" w:rsidTr="006F4229">
        <w:trPr>
          <w:trHeight w:val="1466"/>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 </w:t>
            </w:r>
          </w:p>
        </w:tc>
        <w:tc>
          <w:tcPr>
            <w:tcW w:w="1373"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Male</w:t>
            </w:r>
          </w:p>
        </w:tc>
        <w:tc>
          <w:tcPr>
            <w:tcW w:w="1187"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0.31 (0.23, 0.41)</w:t>
            </w:r>
          </w:p>
        </w:tc>
        <w:tc>
          <w:tcPr>
            <w:tcW w:w="1300"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0.35 (0.26,0.48)</w:t>
            </w:r>
          </w:p>
        </w:tc>
        <w:tc>
          <w:tcPr>
            <w:tcW w:w="1201"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0.03</w:t>
            </w:r>
          </w:p>
        </w:tc>
        <w:tc>
          <w:tcPr>
            <w:tcW w:w="680"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0.15</w:t>
            </w:r>
          </w:p>
        </w:tc>
        <w:tc>
          <w:tcPr>
            <w:tcW w:w="680"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0.48</w:t>
            </w:r>
          </w:p>
        </w:tc>
        <w:tc>
          <w:tcPr>
            <w:tcW w:w="680"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1.20</w:t>
            </w:r>
          </w:p>
        </w:tc>
        <w:tc>
          <w:tcPr>
            <w:tcW w:w="1240"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13.08</w:t>
            </w:r>
          </w:p>
        </w:tc>
        <w:tc>
          <w:tcPr>
            <w:tcW w:w="1225"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 </w:t>
            </w:r>
          </w:p>
        </w:tc>
      </w:tr>
      <w:tr w:rsidR="006F4229" w:rsidRPr="001E166E" w:rsidTr="006F4229">
        <w:trPr>
          <w:trHeight w:val="583"/>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 </w:t>
            </w:r>
          </w:p>
        </w:tc>
        <w:tc>
          <w:tcPr>
            <w:tcW w:w="1373"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BMI</w:t>
            </w:r>
          </w:p>
        </w:tc>
        <w:tc>
          <w:tcPr>
            <w:tcW w:w="1187"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 </w:t>
            </w:r>
          </w:p>
        </w:tc>
        <w:tc>
          <w:tcPr>
            <w:tcW w:w="1300"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 </w:t>
            </w:r>
          </w:p>
        </w:tc>
        <w:tc>
          <w:tcPr>
            <w:tcW w:w="1201"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 </w:t>
            </w:r>
          </w:p>
        </w:tc>
        <w:tc>
          <w:tcPr>
            <w:tcW w:w="680"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 </w:t>
            </w:r>
          </w:p>
        </w:tc>
        <w:tc>
          <w:tcPr>
            <w:tcW w:w="680"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 </w:t>
            </w:r>
          </w:p>
        </w:tc>
        <w:tc>
          <w:tcPr>
            <w:tcW w:w="680"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 </w:t>
            </w:r>
          </w:p>
        </w:tc>
        <w:tc>
          <w:tcPr>
            <w:tcW w:w="1240"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 </w:t>
            </w:r>
          </w:p>
        </w:tc>
        <w:tc>
          <w:tcPr>
            <w:tcW w:w="1225"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 </w:t>
            </w:r>
          </w:p>
        </w:tc>
      </w:tr>
      <w:tr w:rsidR="006F4229" w:rsidRPr="001E166E" w:rsidTr="006F4229">
        <w:trPr>
          <w:trHeight w:val="1466"/>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Urine BPA</w:t>
            </w:r>
          </w:p>
        </w:tc>
        <w:tc>
          <w:tcPr>
            <w:tcW w:w="1373"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Normal weight</w:t>
            </w:r>
          </w:p>
        </w:tc>
        <w:tc>
          <w:tcPr>
            <w:tcW w:w="1187"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0.33 (0.25, 0.45)</w:t>
            </w:r>
          </w:p>
        </w:tc>
        <w:tc>
          <w:tcPr>
            <w:tcW w:w="1300"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0.33 (0.25, 0.45)</w:t>
            </w:r>
          </w:p>
        </w:tc>
        <w:tc>
          <w:tcPr>
            <w:tcW w:w="1201"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0.05</w:t>
            </w:r>
          </w:p>
        </w:tc>
        <w:tc>
          <w:tcPr>
            <w:tcW w:w="680"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0.1</w:t>
            </w:r>
          </w:p>
        </w:tc>
        <w:tc>
          <w:tcPr>
            <w:tcW w:w="680"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0.35</w:t>
            </w:r>
          </w:p>
        </w:tc>
        <w:tc>
          <w:tcPr>
            <w:tcW w:w="680"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1.05</w:t>
            </w:r>
          </w:p>
        </w:tc>
        <w:tc>
          <w:tcPr>
            <w:tcW w:w="1240"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14.40</w:t>
            </w:r>
          </w:p>
        </w:tc>
        <w:tc>
          <w:tcPr>
            <w:tcW w:w="1225"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P = 0.018</w:t>
            </w:r>
            <w:r w:rsidRPr="001E166E">
              <w:rPr>
                <w:rFonts w:ascii="Times New Roman" w:hAnsi="Times New Roman" w:cs="Times New Roman"/>
                <w:sz w:val="24"/>
                <w:szCs w:val="24"/>
                <w:vertAlign w:val="superscript"/>
              </w:rPr>
              <w:t>c</w:t>
            </w:r>
          </w:p>
        </w:tc>
      </w:tr>
      <w:tr w:rsidR="006F4229" w:rsidRPr="001E166E" w:rsidTr="006F4229">
        <w:trPr>
          <w:trHeight w:val="1466"/>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 </w:t>
            </w:r>
          </w:p>
        </w:tc>
        <w:tc>
          <w:tcPr>
            <w:tcW w:w="1373"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Overweight</w:t>
            </w:r>
          </w:p>
        </w:tc>
        <w:tc>
          <w:tcPr>
            <w:tcW w:w="1187"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0.37 (0.24, 0.58)</w:t>
            </w:r>
          </w:p>
        </w:tc>
        <w:tc>
          <w:tcPr>
            <w:tcW w:w="1300"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0.47 (0.30, 0.74)</w:t>
            </w:r>
          </w:p>
        </w:tc>
        <w:tc>
          <w:tcPr>
            <w:tcW w:w="1201"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0.05</w:t>
            </w:r>
          </w:p>
        </w:tc>
        <w:tc>
          <w:tcPr>
            <w:tcW w:w="680"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0.16</w:t>
            </w:r>
          </w:p>
        </w:tc>
        <w:tc>
          <w:tcPr>
            <w:tcW w:w="680"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0.78</w:t>
            </w:r>
          </w:p>
        </w:tc>
        <w:tc>
          <w:tcPr>
            <w:tcW w:w="680"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1.35</w:t>
            </w:r>
          </w:p>
        </w:tc>
        <w:tc>
          <w:tcPr>
            <w:tcW w:w="1240"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11.00</w:t>
            </w:r>
          </w:p>
        </w:tc>
        <w:tc>
          <w:tcPr>
            <w:tcW w:w="1225"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 </w:t>
            </w:r>
          </w:p>
        </w:tc>
      </w:tr>
      <w:tr w:rsidR="006F4229" w:rsidRPr="001E166E" w:rsidTr="006F4229">
        <w:trPr>
          <w:trHeight w:val="1466"/>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lastRenderedPageBreak/>
              <w:t> </w:t>
            </w:r>
          </w:p>
        </w:tc>
        <w:tc>
          <w:tcPr>
            <w:tcW w:w="1373"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Obesity</w:t>
            </w:r>
          </w:p>
        </w:tc>
        <w:tc>
          <w:tcPr>
            <w:tcW w:w="1187"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0.57 (0.42, 0.78)</w:t>
            </w:r>
          </w:p>
        </w:tc>
        <w:tc>
          <w:tcPr>
            <w:tcW w:w="1300"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0.68 (0.49, 0.95)</w:t>
            </w:r>
          </w:p>
        </w:tc>
        <w:tc>
          <w:tcPr>
            <w:tcW w:w="1201"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0.05</w:t>
            </w:r>
          </w:p>
        </w:tc>
        <w:tc>
          <w:tcPr>
            <w:tcW w:w="680"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0.35</w:t>
            </w:r>
          </w:p>
        </w:tc>
        <w:tc>
          <w:tcPr>
            <w:tcW w:w="680"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0.78</w:t>
            </w:r>
          </w:p>
        </w:tc>
        <w:tc>
          <w:tcPr>
            <w:tcW w:w="680"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1.79</w:t>
            </w:r>
          </w:p>
        </w:tc>
        <w:tc>
          <w:tcPr>
            <w:tcW w:w="1240"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16.30</w:t>
            </w:r>
          </w:p>
        </w:tc>
        <w:tc>
          <w:tcPr>
            <w:tcW w:w="1225"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 </w:t>
            </w:r>
          </w:p>
        </w:tc>
      </w:tr>
      <w:tr w:rsidR="006F4229" w:rsidRPr="001E166E" w:rsidTr="006F4229">
        <w:trPr>
          <w:trHeight w:val="1450"/>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Daily intake estimate</w:t>
            </w:r>
          </w:p>
        </w:tc>
        <w:tc>
          <w:tcPr>
            <w:tcW w:w="1373"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Normal weight</w:t>
            </w:r>
          </w:p>
        </w:tc>
        <w:tc>
          <w:tcPr>
            <w:tcW w:w="1187"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0.26 (0.19, 0.36)</w:t>
            </w:r>
          </w:p>
        </w:tc>
        <w:tc>
          <w:tcPr>
            <w:tcW w:w="1300"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0.26 (0.19,0.36)</w:t>
            </w:r>
          </w:p>
        </w:tc>
        <w:tc>
          <w:tcPr>
            <w:tcW w:w="1201"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0.03</w:t>
            </w:r>
          </w:p>
        </w:tc>
        <w:tc>
          <w:tcPr>
            <w:tcW w:w="680"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0.06</w:t>
            </w:r>
          </w:p>
        </w:tc>
        <w:tc>
          <w:tcPr>
            <w:tcW w:w="680"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0.30</w:t>
            </w:r>
          </w:p>
        </w:tc>
        <w:tc>
          <w:tcPr>
            <w:tcW w:w="680"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1.08</w:t>
            </w:r>
          </w:p>
        </w:tc>
        <w:tc>
          <w:tcPr>
            <w:tcW w:w="1240"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10.26</w:t>
            </w:r>
          </w:p>
        </w:tc>
        <w:tc>
          <w:tcPr>
            <w:tcW w:w="1225"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P = 0.032</w:t>
            </w:r>
            <w:r w:rsidRPr="001E166E">
              <w:rPr>
                <w:rFonts w:ascii="Times New Roman" w:hAnsi="Times New Roman" w:cs="Times New Roman"/>
                <w:sz w:val="24"/>
                <w:szCs w:val="24"/>
                <w:vertAlign w:val="superscript"/>
              </w:rPr>
              <w:t>c</w:t>
            </w:r>
          </w:p>
        </w:tc>
      </w:tr>
      <w:tr w:rsidR="006F4229" w:rsidRPr="001E166E" w:rsidTr="006F4229">
        <w:trPr>
          <w:trHeight w:val="1466"/>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 </w:t>
            </w:r>
          </w:p>
        </w:tc>
        <w:tc>
          <w:tcPr>
            <w:tcW w:w="1373"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Overweight</w:t>
            </w:r>
          </w:p>
        </w:tc>
        <w:tc>
          <w:tcPr>
            <w:tcW w:w="1187"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0.33 (0.20, 0.53)</w:t>
            </w:r>
          </w:p>
        </w:tc>
        <w:tc>
          <w:tcPr>
            <w:tcW w:w="1300"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0.41 (0.25,0.69)</w:t>
            </w:r>
          </w:p>
        </w:tc>
        <w:tc>
          <w:tcPr>
            <w:tcW w:w="1201"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0.03</w:t>
            </w:r>
          </w:p>
        </w:tc>
        <w:tc>
          <w:tcPr>
            <w:tcW w:w="680"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0.13</w:t>
            </w:r>
          </w:p>
        </w:tc>
        <w:tc>
          <w:tcPr>
            <w:tcW w:w="680"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0.56</w:t>
            </w:r>
          </w:p>
        </w:tc>
        <w:tc>
          <w:tcPr>
            <w:tcW w:w="680"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1.49</w:t>
            </w:r>
          </w:p>
        </w:tc>
        <w:tc>
          <w:tcPr>
            <w:tcW w:w="1240"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13.20</w:t>
            </w:r>
          </w:p>
        </w:tc>
        <w:tc>
          <w:tcPr>
            <w:tcW w:w="1225"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 </w:t>
            </w:r>
          </w:p>
        </w:tc>
      </w:tr>
      <w:tr w:rsidR="006F4229" w:rsidRPr="001E166E" w:rsidTr="006F4229">
        <w:trPr>
          <w:trHeight w:val="1450"/>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 </w:t>
            </w:r>
          </w:p>
        </w:tc>
        <w:tc>
          <w:tcPr>
            <w:tcW w:w="1373"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Obesity</w:t>
            </w:r>
          </w:p>
        </w:tc>
        <w:tc>
          <w:tcPr>
            <w:tcW w:w="1187"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0.47 (0.34, 0.65)</w:t>
            </w:r>
          </w:p>
        </w:tc>
        <w:tc>
          <w:tcPr>
            <w:tcW w:w="1300"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0.56 (0.40,0.80)</w:t>
            </w:r>
          </w:p>
        </w:tc>
        <w:tc>
          <w:tcPr>
            <w:tcW w:w="1201"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0.03</w:t>
            </w:r>
          </w:p>
        </w:tc>
        <w:tc>
          <w:tcPr>
            <w:tcW w:w="680"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0.29</w:t>
            </w:r>
          </w:p>
        </w:tc>
        <w:tc>
          <w:tcPr>
            <w:tcW w:w="680"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0.66</w:t>
            </w:r>
          </w:p>
        </w:tc>
        <w:tc>
          <w:tcPr>
            <w:tcW w:w="680"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1.59</w:t>
            </w:r>
          </w:p>
        </w:tc>
        <w:tc>
          <w:tcPr>
            <w:tcW w:w="1240"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19.56</w:t>
            </w:r>
          </w:p>
        </w:tc>
        <w:tc>
          <w:tcPr>
            <w:tcW w:w="1225"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 </w:t>
            </w:r>
          </w:p>
        </w:tc>
      </w:tr>
    </w:tbl>
    <w:p w:rsidR="004238BC" w:rsidRPr="001E166E" w:rsidRDefault="004238BC" w:rsidP="004238BC">
      <w:pPr>
        <w:spacing w:line="480" w:lineRule="auto"/>
        <w:rPr>
          <w:rFonts w:ascii="Times New Roman" w:hAnsi="Times New Roman" w:cs="Times New Roman"/>
          <w:sz w:val="24"/>
          <w:szCs w:val="24"/>
        </w:rPr>
      </w:pPr>
      <w:r w:rsidRPr="001E166E">
        <w:rPr>
          <w:rFonts w:ascii="Times New Roman" w:hAnsi="Times New Roman" w:cs="Times New Roman"/>
          <w:sz w:val="24"/>
          <w:szCs w:val="24"/>
        </w:rPr>
        <w:t>Abbreviation: CI (confidence interval), SG (specific gravity).</w:t>
      </w:r>
    </w:p>
    <w:p w:rsidR="004238BC" w:rsidRDefault="004238BC" w:rsidP="004238BC">
      <w:pPr>
        <w:spacing w:line="480" w:lineRule="auto"/>
        <w:rPr>
          <w:rFonts w:ascii="Times New Roman" w:hAnsi="Times New Roman" w:cs="Times New Roman"/>
          <w:b/>
          <w:sz w:val="24"/>
          <w:szCs w:val="24"/>
        </w:rPr>
      </w:pPr>
      <w:r w:rsidRPr="001E166E">
        <w:rPr>
          <w:rFonts w:ascii="Times New Roman" w:hAnsi="Times New Roman" w:cs="Times New Roman"/>
          <w:sz w:val="24"/>
          <w:szCs w:val="24"/>
        </w:rPr>
        <w:t xml:space="preserve">Table 3 demonstrated that urine BPA concentration was mainly connected with increasing BMI as a persistent variable in all subjects after change for age and sex. The outcomes were comparable prior, and then afterwards urine BPA concentrations were redressed by SG. There were sex and age-related varieties in the affiliation. Adjusted Model 1 demonstrates that before revised by SG, the relationship between urine BPA focus and BMI was critical in females and </w:t>
      </w:r>
      <w:r w:rsidRPr="001E166E">
        <w:rPr>
          <w:rFonts w:ascii="Times New Roman" w:hAnsi="Times New Roman" w:cs="Times New Roman"/>
          <w:sz w:val="24"/>
          <w:szCs w:val="24"/>
        </w:rPr>
        <w:lastRenderedPageBreak/>
        <w:t xml:space="preserve">the 8-11 year age sample. </w:t>
      </w:r>
      <w:r w:rsidR="007771B6">
        <w:rPr>
          <w:rFonts w:ascii="Times New Roman" w:hAnsi="Times New Roman" w:cs="Times New Roman"/>
          <w:sz w:val="24"/>
          <w:szCs w:val="24"/>
        </w:rPr>
        <w:t>Besides</w:t>
      </w:r>
      <w:r w:rsidRPr="001E166E">
        <w:rPr>
          <w:rFonts w:ascii="Times New Roman" w:hAnsi="Times New Roman" w:cs="Times New Roman"/>
          <w:sz w:val="24"/>
          <w:szCs w:val="24"/>
        </w:rPr>
        <w:t>, the affiliation was not noteworthy after redressed by SG despite the fact that the relationship in the 8-11 age aggregate barely missed relevant statistical significance (p = 0.081) (adjusted model 2). The relapse coefficient (β) spoke to the change of actually log-changed BMI esteem per one unit of typically log-changed urine BPA focus. The aftereffects of BPA admission related with BMI were like those of urine BPA-associated with BMI</w:t>
      </w:r>
    </w:p>
    <w:p w:rsidR="004238BC" w:rsidRPr="001E166E" w:rsidRDefault="004238BC" w:rsidP="004238BC">
      <w:pPr>
        <w:spacing w:line="480" w:lineRule="auto"/>
        <w:rPr>
          <w:rFonts w:ascii="Times New Roman" w:hAnsi="Times New Roman" w:cs="Times New Roman"/>
          <w:b/>
          <w:sz w:val="24"/>
          <w:szCs w:val="24"/>
        </w:rPr>
      </w:pPr>
      <w:r w:rsidRPr="001E166E">
        <w:rPr>
          <w:rFonts w:ascii="Times New Roman" w:hAnsi="Times New Roman" w:cs="Times New Roman"/>
          <w:b/>
          <w:sz w:val="24"/>
          <w:szCs w:val="24"/>
        </w:rPr>
        <w:t>Table 3</w:t>
      </w:r>
    </w:p>
    <w:p w:rsidR="004238BC" w:rsidRPr="001E166E" w:rsidRDefault="004238BC" w:rsidP="004238BC">
      <w:pPr>
        <w:spacing w:line="480" w:lineRule="auto"/>
        <w:rPr>
          <w:rFonts w:ascii="Times New Roman" w:hAnsi="Times New Roman" w:cs="Times New Roman"/>
          <w:i/>
          <w:sz w:val="24"/>
          <w:szCs w:val="24"/>
        </w:rPr>
      </w:pPr>
      <w:r w:rsidRPr="001E166E">
        <w:rPr>
          <w:rFonts w:ascii="Times New Roman" w:hAnsi="Times New Roman" w:cs="Times New Roman"/>
          <w:bCs/>
          <w:i/>
          <w:sz w:val="24"/>
          <w:szCs w:val="24"/>
        </w:rPr>
        <w:t>An analysis of the relationship between urine BPA concentration (ng/mL) and body mass index (BMI, Kg/m</w:t>
      </w:r>
      <w:r w:rsidRPr="001E166E">
        <w:rPr>
          <w:rFonts w:ascii="Times New Roman" w:hAnsi="Times New Roman" w:cs="Times New Roman"/>
          <w:i/>
          <w:sz w:val="24"/>
          <w:szCs w:val="24"/>
        </w:rPr>
        <w:t> </w:t>
      </w:r>
      <w:r w:rsidRPr="001E166E">
        <w:rPr>
          <w:rFonts w:ascii="Times New Roman" w:hAnsi="Times New Roman" w:cs="Times New Roman"/>
          <w:bCs/>
          <w:i/>
          <w:sz w:val="24"/>
          <w:szCs w:val="24"/>
          <w:vertAlign w:val="superscript"/>
        </w:rPr>
        <w:t>2</w:t>
      </w:r>
      <w:r w:rsidRPr="001E166E">
        <w:rPr>
          <w:rFonts w:ascii="Times New Roman" w:hAnsi="Times New Roman" w:cs="Times New Roman"/>
          <w:i/>
          <w:sz w:val="24"/>
          <w:szCs w:val="24"/>
          <w:vertAlign w:val="superscript"/>
        </w:rPr>
        <w:t> </w:t>
      </w:r>
      <w:r w:rsidRPr="001E166E">
        <w:rPr>
          <w:rFonts w:ascii="Times New Roman" w:hAnsi="Times New Roman" w:cs="Times New Roman"/>
          <w:bCs/>
          <w:i/>
          <w:sz w:val="24"/>
          <w:szCs w:val="24"/>
        </w:rPr>
        <w:t>)</w:t>
      </w:r>
    </w:p>
    <w:tbl>
      <w:tblPr>
        <w:tblW w:w="9048" w:type="dxa"/>
        <w:jc w:val="right"/>
        <w:shd w:val="clear" w:color="auto" w:fill="FFFFFF"/>
        <w:tblCellMar>
          <w:top w:w="15" w:type="dxa"/>
          <w:left w:w="15" w:type="dxa"/>
          <w:bottom w:w="15" w:type="dxa"/>
          <w:right w:w="15" w:type="dxa"/>
        </w:tblCellMar>
        <w:tblLook w:val="04A0"/>
      </w:tblPr>
      <w:tblGrid>
        <w:gridCol w:w="948"/>
        <w:gridCol w:w="2286"/>
        <w:gridCol w:w="2618"/>
        <w:gridCol w:w="3196"/>
      </w:tblGrid>
      <w:tr w:rsidR="006F4229" w:rsidRPr="001E166E" w:rsidTr="006F4229">
        <w:trPr>
          <w:trHeight w:val="727"/>
          <w:tblHeader/>
          <w:jc w:val="right"/>
        </w:trPr>
        <w:tc>
          <w:tcPr>
            <w:tcW w:w="0" w:type="auto"/>
            <w:tcBorders>
              <w:top w:val="single" w:sz="6" w:space="0" w:color="DCDCDC"/>
              <w:left w:val="single" w:sz="6" w:space="0" w:color="DCDCDC"/>
              <w:bottom w:val="single" w:sz="6" w:space="0" w:color="DCDCDC"/>
              <w:right w:val="single" w:sz="6" w:space="0" w:color="DCDCDC"/>
            </w:tcBorders>
            <w:shd w:val="clear" w:color="auto" w:fill="EDEDED"/>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b/>
                <w:bCs/>
                <w:color w:val="333333"/>
                <w:sz w:val="24"/>
                <w:szCs w:val="24"/>
              </w:rPr>
            </w:pPr>
            <w:r w:rsidRPr="001E166E">
              <w:rPr>
                <w:rFonts w:ascii="Times New Roman" w:hAnsi="Times New Roman" w:cs="Times New Roman"/>
                <w:b/>
                <w:bCs/>
                <w:color w:val="333333"/>
                <w:sz w:val="24"/>
                <w:szCs w:val="24"/>
              </w:rPr>
              <w:t>Group</w:t>
            </w:r>
          </w:p>
        </w:tc>
        <w:tc>
          <w:tcPr>
            <w:tcW w:w="2286" w:type="dxa"/>
            <w:tcBorders>
              <w:top w:val="single" w:sz="6" w:space="0" w:color="DCDCDC"/>
              <w:left w:val="single" w:sz="6" w:space="0" w:color="DCDCDC"/>
              <w:bottom w:val="single" w:sz="6" w:space="0" w:color="DCDCDC"/>
              <w:right w:val="single" w:sz="6" w:space="0" w:color="DCDCDC"/>
            </w:tcBorders>
            <w:shd w:val="clear" w:color="auto" w:fill="EDEDED"/>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b/>
                <w:bCs/>
                <w:color w:val="333333"/>
                <w:sz w:val="24"/>
                <w:szCs w:val="24"/>
              </w:rPr>
            </w:pPr>
            <w:r w:rsidRPr="001E166E">
              <w:rPr>
                <w:rFonts w:ascii="Times New Roman" w:hAnsi="Times New Roman" w:cs="Times New Roman"/>
                <w:b/>
                <w:bCs/>
                <w:color w:val="333333"/>
                <w:sz w:val="24"/>
                <w:szCs w:val="24"/>
              </w:rPr>
              <w:t>Crude analysis</w:t>
            </w:r>
            <w:r w:rsidRPr="001E166E">
              <w:rPr>
                <w:rFonts w:ascii="Times New Roman" w:hAnsi="Times New Roman" w:cs="Times New Roman"/>
                <w:b/>
                <w:bCs/>
                <w:color w:val="333333"/>
                <w:sz w:val="24"/>
                <w:szCs w:val="24"/>
                <w:vertAlign w:val="superscript"/>
              </w:rPr>
              <w:t>a</w:t>
            </w:r>
          </w:p>
        </w:tc>
        <w:tc>
          <w:tcPr>
            <w:tcW w:w="2618" w:type="dxa"/>
            <w:tcBorders>
              <w:top w:val="single" w:sz="6" w:space="0" w:color="DCDCDC"/>
              <w:left w:val="single" w:sz="6" w:space="0" w:color="DCDCDC"/>
              <w:bottom w:val="single" w:sz="6" w:space="0" w:color="DCDCDC"/>
              <w:right w:val="single" w:sz="6" w:space="0" w:color="DCDCDC"/>
            </w:tcBorders>
            <w:shd w:val="clear" w:color="auto" w:fill="EDEDED"/>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b/>
                <w:bCs/>
                <w:color w:val="333333"/>
                <w:sz w:val="24"/>
                <w:szCs w:val="24"/>
              </w:rPr>
            </w:pPr>
            <w:r w:rsidRPr="001E166E">
              <w:rPr>
                <w:rFonts w:ascii="Times New Roman" w:hAnsi="Times New Roman" w:cs="Times New Roman"/>
                <w:b/>
                <w:bCs/>
                <w:color w:val="333333"/>
                <w:sz w:val="24"/>
                <w:szCs w:val="24"/>
              </w:rPr>
              <w:t>Adjusted model 1</w:t>
            </w:r>
            <w:r w:rsidRPr="001E166E">
              <w:rPr>
                <w:rFonts w:ascii="Times New Roman" w:hAnsi="Times New Roman" w:cs="Times New Roman"/>
                <w:b/>
                <w:bCs/>
                <w:color w:val="333333"/>
                <w:sz w:val="24"/>
                <w:szCs w:val="24"/>
                <w:vertAlign w:val="superscript"/>
              </w:rPr>
              <w:t>b</w:t>
            </w:r>
          </w:p>
        </w:tc>
        <w:tc>
          <w:tcPr>
            <w:tcW w:w="3196" w:type="dxa"/>
            <w:tcBorders>
              <w:top w:val="single" w:sz="6" w:space="0" w:color="DCDCDC"/>
              <w:left w:val="single" w:sz="6" w:space="0" w:color="DCDCDC"/>
              <w:bottom w:val="single" w:sz="6" w:space="0" w:color="DCDCDC"/>
              <w:right w:val="single" w:sz="6" w:space="0" w:color="DCDCDC"/>
            </w:tcBorders>
            <w:shd w:val="clear" w:color="auto" w:fill="EDEDED"/>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b/>
                <w:bCs/>
                <w:color w:val="333333"/>
                <w:sz w:val="24"/>
                <w:szCs w:val="24"/>
              </w:rPr>
            </w:pPr>
            <w:r w:rsidRPr="001E166E">
              <w:rPr>
                <w:rFonts w:ascii="Times New Roman" w:hAnsi="Times New Roman" w:cs="Times New Roman"/>
                <w:b/>
                <w:bCs/>
                <w:color w:val="333333"/>
                <w:sz w:val="24"/>
                <w:szCs w:val="24"/>
              </w:rPr>
              <w:t>Adjusted model 2</w:t>
            </w:r>
            <w:r w:rsidRPr="001E166E">
              <w:rPr>
                <w:rFonts w:ascii="Times New Roman" w:hAnsi="Times New Roman" w:cs="Times New Roman"/>
                <w:b/>
                <w:bCs/>
                <w:color w:val="333333"/>
                <w:sz w:val="24"/>
                <w:szCs w:val="24"/>
                <w:vertAlign w:val="superscript"/>
              </w:rPr>
              <w:t>c</w:t>
            </w:r>
          </w:p>
        </w:tc>
      </w:tr>
      <w:tr w:rsidR="006F4229" w:rsidRPr="001E166E" w:rsidTr="006F4229">
        <w:trPr>
          <w:trHeight w:val="747"/>
          <w:tblHeader/>
          <w:jc w:val="right"/>
        </w:trPr>
        <w:tc>
          <w:tcPr>
            <w:tcW w:w="0" w:type="auto"/>
            <w:tcBorders>
              <w:top w:val="single" w:sz="6" w:space="0" w:color="DCDCDC"/>
              <w:left w:val="single" w:sz="6" w:space="0" w:color="DCDCDC"/>
              <w:bottom w:val="single" w:sz="6" w:space="0" w:color="DCDCDC"/>
              <w:right w:val="single" w:sz="6" w:space="0" w:color="DCDCDC"/>
            </w:tcBorders>
            <w:shd w:val="clear" w:color="auto" w:fill="EDEDED"/>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b/>
                <w:bCs/>
                <w:color w:val="333333"/>
                <w:sz w:val="24"/>
                <w:szCs w:val="24"/>
              </w:rPr>
            </w:pPr>
            <w:r w:rsidRPr="001E166E">
              <w:rPr>
                <w:rFonts w:ascii="Times New Roman" w:hAnsi="Times New Roman" w:cs="Times New Roman"/>
                <w:b/>
                <w:bCs/>
                <w:color w:val="333333"/>
                <w:sz w:val="24"/>
                <w:szCs w:val="24"/>
              </w:rPr>
              <w:t> </w:t>
            </w:r>
          </w:p>
        </w:tc>
        <w:tc>
          <w:tcPr>
            <w:tcW w:w="2286" w:type="dxa"/>
            <w:tcBorders>
              <w:top w:val="single" w:sz="6" w:space="0" w:color="DCDCDC"/>
              <w:left w:val="single" w:sz="6" w:space="0" w:color="DCDCDC"/>
              <w:bottom w:val="single" w:sz="6" w:space="0" w:color="DCDCDC"/>
              <w:right w:val="single" w:sz="6" w:space="0" w:color="DCDCDC"/>
            </w:tcBorders>
            <w:shd w:val="clear" w:color="auto" w:fill="EDEDED"/>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b/>
                <w:bCs/>
                <w:color w:val="333333"/>
                <w:sz w:val="24"/>
                <w:szCs w:val="24"/>
              </w:rPr>
            </w:pPr>
            <w:r w:rsidRPr="001E166E">
              <w:rPr>
                <w:rFonts w:ascii="Times New Roman" w:hAnsi="Times New Roman" w:cs="Times New Roman"/>
                <w:b/>
                <w:bCs/>
                <w:color w:val="333333"/>
                <w:sz w:val="24"/>
                <w:szCs w:val="24"/>
              </w:rPr>
              <w:t>ß </w:t>
            </w:r>
            <w:r w:rsidRPr="001E166E">
              <w:rPr>
                <w:rFonts w:ascii="Times New Roman" w:hAnsi="Times New Roman" w:cs="Times New Roman"/>
                <w:b/>
                <w:bCs/>
                <w:color w:val="333333"/>
                <w:sz w:val="24"/>
                <w:szCs w:val="24"/>
                <w:vertAlign w:val="superscript"/>
              </w:rPr>
              <w:t>d</w:t>
            </w:r>
            <w:r w:rsidRPr="001E166E">
              <w:rPr>
                <w:rFonts w:ascii="Times New Roman" w:hAnsi="Times New Roman" w:cs="Times New Roman"/>
                <w:b/>
                <w:bCs/>
                <w:color w:val="333333"/>
                <w:sz w:val="24"/>
                <w:szCs w:val="24"/>
              </w:rPr>
              <w:t> (95% CI)</w:t>
            </w:r>
          </w:p>
        </w:tc>
        <w:tc>
          <w:tcPr>
            <w:tcW w:w="2618" w:type="dxa"/>
            <w:tcBorders>
              <w:top w:val="single" w:sz="6" w:space="0" w:color="DCDCDC"/>
              <w:left w:val="single" w:sz="6" w:space="0" w:color="DCDCDC"/>
              <w:bottom w:val="single" w:sz="6" w:space="0" w:color="DCDCDC"/>
              <w:right w:val="single" w:sz="6" w:space="0" w:color="DCDCDC"/>
            </w:tcBorders>
            <w:shd w:val="clear" w:color="auto" w:fill="EDEDED"/>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b/>
                <w:bCs/>
                <w:color w:val="333333"/>
                <w:sz w:val="24"/>
                <w:szCs w:val="24"/>
              </w:rPr>
            </w:pPr>
            <w:r w:rsidRPr="001E166E">
              <w:rPr>
                <w:rFonts w:ascii="Times New Roman" w:hAnsi="Times New Roman" w:cs="Times New Roman"/>
                <w:b/>
                <w:bCs/>
                <w:color w:val="333333"/>
                <w:sz w:val="24"/>
                <w:szCs w:val="24"/>
              </w:rPr>
              <w:t>ß (95% CI)</w:t>
            </w:r>
          </w:p>
        </w:tc>
        <w:tc>
          <w:tcPr>
            <w:tcW w:w="3196" w:type="dxa"/>
            <w:tcBorders>
              <w:top w:val="single" w:sz="6" w:space="0" w:color="DCDCDC"/>
              <w:left w:val="single" w:sz="6" w:space="0" w:color="DCDCDC"/>
              <w:bottom w:val="single" w:sz="6" w:space="0" w:color="DCDCDC"/>
              <w:right w:val="single" w:sz="6" w:space="0" w:color="DCDCDC"/>
            </w:tcBorders>
            <w:shd w:val="clear" w:color="auto" w:fill="EDEDED"/>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b/>
                <w:bCs/>
                <w:color w:val="333333"/>
                <w:sz w:val="24"/>
                <w:szCs w:val="24"/>
              </w:rPr>
            </w:pPr>
            <w:r w:rsidRPr="001E166E">
              <w:rPr>
                <w:rFonts w:ascii="Times New Roman" w:hAnsi="Times New Roman" w:cs="Times New Roman"/>
                <w:b/>
                <w:bCs/>
                <w:color w:val="333333"/>
                <w:sz w:val="24"/>
                <w:szCs w:val="24"/>
              </w:rPr>
              <w:t>ß (95% CI)</w:t>
            </w:r>
          </w:p>
        </w:tc>
      </w:tr>
      <w:tr w:rsidR="006F4229" w:rsidRPr="001E166E" w:rsidTr="006F4229">
        <w:trPr>
          <w:trHeight w:val="727"/>
          <w:jc w:val="right"/>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All</w:t>
            </w:r>
          </w:p>
        </w:tc>
        <w:tc>
          <w:tcPr>
            <w:tcW w:w="2286"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0.019 (0.002, 0.035)</w:t>
            </w:r>
          </w:p>
        </w:tc>
        <w:tc>
          <w:tcPr>
            <w:tcW w:w="2618"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0.018 (0.004, 0.032)</w:t>
            </w:r>
          </w:p>
        </w:tc>
        <w:tc>
          <w:tcPr>
            <w:tcW w:w="3196"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0.017 (0.002, 0.032)</w:t>
            </w:r>
          </w:p>
        </w:tc>
      </w:tr>
      <w:tr w:rsidR="006F4229" w:rsidRPr="001E166E" w:rsidTr="006F4229">
        <w:trPr>
          <w:trHeight w:val="727"/>
          <w:jc w:val="right"/>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 </w:t>
            </w:r>
          </w:p>
        </w:tc>
        <w:tc>
          <w:tcPr>
            <w:tcW w:w="2286"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P = 0.027</w:t>
            </w:r>
          </w:p>
        </w:tc>
        <w:tc>
          <w:tcPr>
            <w:tcW w:w="2618"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P = 0.011</w:t>
            </w:r>
          </w:p>
        </w:tc>
        <w:tc>
          <w:tcPr>
            <w:tcW w:w="3196"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P = 0.026</w:t>
            </w:r>
          </w:p>
        </w:tc>
      </w:tr>
      <w:tr w:rsidR="006F4229" w:rsidRPr="001E166E" w:rsidTr="006F4229">
        <w:trPr>
          <w:trHeight w:val="747"/>
          <w:jc w:val="right"/>
        </w:trPr>
        <w:tc>
          <w:tcPr>
            <w:tcW w:w="9048" w:type="dxa"/>
            <w:gridSpan w:val="4"/>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Age (years)</w:t>
            </w:r>
          </w:p>
        </w:tc>
      </w:tr>
      <w:tr w:rsidR="006F4229" w:rsidRPr="001E166E" w:rsidTr="006F4229">
        <w:trPr>
          <w:trHeight w:val="727"/>
          <w:jc w:val="right"/>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8-11</w:t>
            </w:r>
            <w:r w:rsidRPr="001E166E">
              <w:rPr>
                <w:rFonts w:ascii="Times New Roman" w:hAnsi="Times New Roman" w:cs="Times New Roman"/>
                <w:sz w:val="24"/>
                <w:szCs w:val="24"/>
              </w:rPr>
              <w:t> </w:t>
            </w:r>
            <w:r w:rsidRPr="001E166E">
              <w:rPr>
                <w:rFonts w:ascii="Times New Roman" w:hAnsi="Times New Roman" w:cs="Times New Roman"/>
                <w:sz w:val="24"/>
                <w:szCs w:val="24"/>
              </w:rPr>
              <w:t> </w:t>
            </w:r>
          </w:p>
        </w:tc>
        <w:tc>
          <w:tcPr>
            <w:tcW w:w="2286"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0.010 (-0.010, 0.030)</w:t>
            </w:r>
          </w:p>
        </w:tc>
        <w:tc>
          <w:tcPr>
            <w:tcW w:w="2618"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0.020 (0.001, 0.038)</w:t>
            </w:r>
          </w:p>
        </w:tc>
        <w:tc>
          <w:tcPr>
            <w:tcW w:w="3196"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0.017 (-0.002, 0.037)</w:t>
            </w:r>
          </w:p>
        </w:tc>
      </w:tr>
      <w:tr w:rsidR="006F4229" w:rsidRPr="001E166E" w:rsidTr="006F4229">
        <w:trPr>
          <w:trHeight w:val="727"/>
          <w:jc w:val="right"/>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 </w:t>
            </w:r>
          </w:p>
        </w:tc>
        <w:tc>
          <w:tcPr>
            <w:tcW w:w="2286"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P = 0.330</w:t>
            </w:r>
          </w:p>
        </w:tc>
        <w:tc>
          <w:tcPr>
            <w:tcW w:w="2618"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P = 0.041</w:t>
            </w:r>
          </w:p>
        </w:tc>
        <w:tc>
          <w:tcPr>
            <w:tcW w:w="3196"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P = 0.081</w:t>
            </w:r>
          </w:p>
        </w:tc>
      </w:tr>
      <w:tr w:rsidR="006F4229" w:rsidRPr="001E166E" w:rsidTr="006F4229">
        <w:trPr>
          <w:trHeight w:val="767"/>
          <w:jc w:val="right"/>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12-15</w:t>
            </w:r>
            <w:r w:rsidRPr="001E166E">
              <w:rPr>
                <w:rFonts w:ascii="Times New Roman" w:hAnsi="Times New Roman" w:cs="Times New Roman"/>
                <w:sz w:val="24"/>
                <w:szCs w:val="24"/>
              </w:rPr>
              <w:t> </w:t>
            </w:r>
            <w:r w:rsidRPr="001E166E">
              <w:rPr>
                <w:rFonts w:ascii="Times New Roman" w:hAnsi="Times New Roman" w:cs="Times New Roman"/>
                <w:sz w:val="24"/>
                <w:szCs w:val="24"/>
              </w:rPr>
              <w:t> </w:t>
            </w:r>
          </w:p>
        </w:tc>
        <w:tc>
          <w:tcPr>
            <w:tcW w:w="2286"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0.013 (-0.012, 0.039)</w:t>
            </w:r>
          </w:p>
        </w:tc>
        <w:tc>
          <w:tcPr>
            <w:tcW w:w="2618"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0.020 (-0.003, 0.044)</w:t>
            </w:r>
          </w:p>
        </w:tc>
        <w:tc>
          <w:tcPr>
            <w:tcW w:w="3196"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0.019 (-0.005, 0.044)</w:t>
            </w:r>
          </w:p>
        </w:tc>
      </w:tr>
      <w:tr w:rsidR="006F4229" w:rsidRPr="001E166E" w:rsidTr="006F4229">
        <w:trPr>
          <w:trHeight w:val="727"/>
          <w:jc w:val="right"/>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lastRenderedPageBreak/>
              <w:t> </w:t>
            </w:r>
          </w:p>
        </w:tc>
        <w:tc>
          <w:tcPr>
            <w:tcW w:w="2286"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P = 0.306</w:t>
            </w:r>
          </w:p>
        </w:tc>
        <w:tc>
          <w:tcPr>
            <w:tcW w:w="2618"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P = 0.088</w:t>
            </w:r>
          </w:p>
        </w:tc>
        <w:tc>
          <w:tcPr>
            <w:tcW w:w="3196"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P = 0.118</w:t>
            </w:r>
          </w:p>
        </w:tc>
      </w:tr>
      <w:tr w:rsidR="006F4229" w:rsidRPr="001E166E" w:rsidTr="006F4229">
        <w:trPr>
          <w:trHeight w:val="747"/>
          <w:jc w:val="right"/>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Sex</w:t>
            </w:r>
          </w:p>
        </w:tc>
        <w:tc>
          <w:tcPr>
            <w:tcW w:w="2286"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 </w:t>
            </w:r>
          </w:p>
        </w:tc>
        <w:tc>
          <w:tcPr>
            <w:tcW w:w="2618"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 </w:t>
            </w:r>
          </w:p>
        </w:tc>
        <w:tc>
          <w:tcPr>
            <w:tcW w:w="3196"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 </w:t>
            </w:r>
          </w:p>
        </w:tc>
      </w:tr>
      <w:tr w:rsidR="006F4229" w:rsidRPr="001E166E" w:rsidTr="006F4229">
        <w:trPr>
          <w:trHeight w:val="727"/>
          <w:jc w:val="right"/>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Female</w:t>
            </w:r>
            <w:r w:rsidRPr="001E166E">
              <w:rPr>
                <w:rFonts w:ascii="Times New Roman" w:hAnsi="Times New Roman" w:cs="Times New Roman"/>
                <w:sz w:val="24"/>
                <w:szCs w:val="24"/>
              </w:rPr>
              <w:t> </w:t>
            </w:r>
            <w:r w:rsidRPr="001E166E">
              <w:rPr>
                <w:rFonts w:ascii="Times New Roman" w:hAnsi="Times New Roman" w:cs="Times New Roman"/>
                <w:sz w:val="24"/>
                <w:szCs w:val="24"/>
              </w:rPr>
              <w:t> </w:t>
            </w:r>
          </w:p>
        </w:tc>
        <w:tc>
          <w:tcPr>
            <w:tcW w:w="2286"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0.021 (-0.001, 0.043)</w:t>
            </w:r>
          </w:p>
        </w:tc>
        <w:tc>
          <w:tcPr>
            <w:tcW w:w="2618"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0.020 (0.002, 0.038)</w:t>
            </w:r>
          </w:p>
        </w:tc>
        <w:tc>
          <w:tcPr>
            <w:tcW w:w="3196"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0.015 (-0.004, 0.034)</w:t>
            </w:r>
          </w:p>
        </w:tc>
      </w:tr>
      <w:tr w:rsidR="006F4229" w:rsidRPr="001E166E" w:rsidTr="006F4229">
        <w:trPr>
          <w:trHeight w:val="727"/>
          <w:jc w:val="right"/>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 </w:t>
            </w:r>
          </w:p>
        </w:tc>
        <w:tc>
          <w:tcPr>
            <w:tcW w:w="2286"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P = 0.065</w:t>
            </w:r>
          </w:p>
        </w:tc>
        <w:tc>
          <w:tcPr>
            <w:tcW w:w="2618"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P = 0.028</w:t>
            </w:r>
          </w:p>
        </w:tc>
        <w:tc>
          <w:tcPr>
            <w:tcW w:w="3196"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P = 0.115</w:t>
            </w:r>
          </w:p>
        </w:tc>
      </w:tr>
      <w:tr w:rsidR="006F4229" w:rsidRPr="001E166E" w:rsidTr="006F4229">
        <w:trPr>
          <w:trHeight w:val="747"/>
          <w:jc w:val="right"/>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Male</w:t>
            </w:r>
            <w:r w:rsidRPr="001E166E">
              <w:rPr>
                <w:rFonts w:ascii="Times New Roman" w:hAnsi="Times New Roman" w:cs="Times New Roman"/>
                <w:sz w:val="24"/>
                <w:szCs w:val="24"/>
              </w:rPr>
              <w:t> </w:t>
            </w:r>
            <w:r w:rsidRPr="001E166E">
              <w:rPr>
                <w:rFonts w:ascii="Times New Roman" w:hAnsi="Times New Roman" w:cs="Times New Roman"/>
                <w:sz w:val="24"/>
                <w:szCs w:val="24"/>
              </w:rPr>
              <w:t> </w:t>
            </w:r>
          </w:p>
        </w:tc>
        <w:tc>
          <w:tcPr>
            <w:tcW w:w="2286"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0.017 (-0.008, 0.042)</w:t>
            </w:r>
          </w:p>
        </w:tc>
        <w:tc>
          <w:tcPr>
            <w:tcW w:w="2618"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0.016 (-0.007, 0.038)</w:t>
            </w:r>
          </w:p>
        </w:tc>
        <w:tc>
          <w:tcPr>
            <w:tcW w:w="3196"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0.018 (-0.005, 0.041)</w:t>
            </w:r>
          </w:p>
        </w:tc>
      </w:tr>
      <w:tr w:rsidR="006F4229" w:rsidRPr="001E166E" w:rsidTr="006F4229">
        <w:trPr>
          <w:trHeight w:val="727"/>
          <w:jc w:val="right"/>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 </w:t>
            </w:r>
          </w:p>
        </w:tc>
        <w:tc>
          <w:tcPr>
            <w:tcW w:w="2286"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P = 0.188</w:t>
            </w:r>
          </w:p>
        </w:tc>
        <w:tc>
          <w:tcPr>
            <w:tcW w:w="2618"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P = 0.164</w:t>
            </w:r>
          </w:p>
        </w:tc>
        <w:tc>
          <w:tcPr>
            <w:tcW w:w="3196"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238BC" w:rsidRPr="001E166E" w:rsidRDefault="004238BC" w:rsidP="006F28C4">
            <w:pPr>
              <w:spacing w:line="480" w:lineRule="auto"/>
              <w:rPr>
                <w:rFonts w:ascii="Times New Roman" w:hAnsi="Times New Roman" w:cs="Times New Roman"/>
                <w:sz w:val="24"/>
                <w:szCs w:val="24"/>
              </w:rPr>
            </w:pPr>
            <w:r w:rsidRPr="001E166E">
              <w:rPr>
                <w:rFonts w:ascii="Times New Roman" w:hAnsi="Times New Roman" w:cs="Times New Roman"/>
                <w:sz w:val="24"/>
                <w:szCs w:val="24"/>
              </w:rPr>
              <w:t>P = 0.123</w:t>
            </w:r>
          </w:p>
        </w:tc>
      </w:tr>
    </w:tbl>
    <w:p w:rsidR="004238BC" w:rsidRDefault="004238BC" w:rsidP="004238BC">
      <w:pPr>
        <w:spacing w:line="480" w:lineRule="auto"/>
        <w:rPr>
          <w:rFonts w:ascii="Times New Roman" w:hAnsi="Times New Roman" w:cs="Times New Roman"/>
          <w:sz w:val="24"/>
          <w:szCs w:val="24"/>
        </w:rPr>
      </w:pPr>
      <w:r w:rsidRPr="001E166E">
        <w:rPr>
          <w:rFonts w:ascii="Times New Roman" w:hAnsi="Times New Roman" w:cs="Times New Roman"/>
          <w:sz w:val="24"/>
          <w:szCs w:val="24"/>
        </w:rPr>
        <w:t>Abbreviation: CI (confidence interval).</w:t>
      </w:r>
    </w:p>
    <w:p w:rsidR="00F95B93" w:rsidRDefault="00F95B93" w:rsidP="004238BC">
      <w:pPr>
        <w:spacing w:line="480" w:lineRule="auto"/>
        <w:rPr>
          <w:rFonts w:ascii="Times New Roman" w:hAnsi="Times New Roman" w:cs="Times New Roman"/>
          <w:sz w:val="24"/>
          <w:szCs w:val="24"/>
        </w:rPr>
      </w:pPr>
    </w:p>
    <w:p w:rsidR="00F95B93" w:rsidRDefault="00F95B93" w:rsidP="004238BC">
      <w:pPr>
        <w:spacing w:line="480" w:lineRule="auto"/>
        <w:rPr>
          <w:rFonts w:ascii="Times New Roman" w:hAnsi="Times New Roman" w:cs="Times New Roman"/>
          <w:sz w:val="24"/>
          <w:szCs w:val="24"/>
        </w:rPr>
      </w:pPr>
    </w:p>
    <w:p w:rsidR="00F95B93" w:rsidRDefault="00F95B93" w:rsidP="004238BC">
      <w:pPr>
        <w:spacing w:line="480" w:lineRule="auto"/>
        <w:rPr>
          <w:rFonts w:ascii="Times New Roman" w:hAnsi="Times New Roman" w:cs="Times New Roman"/>
          <w:sz w:val="24"/>
          <w:szCs w:val="24"/>
        </w:rPr>
      </w:pPr>
    </w:p>
    <w:p w:rsidR="00F95B93" w:rsidRDefault="00F95B93" w:rsidP="004238BC">
      <w:pPr>
        <w:spacing w:line="480" w:lineRule="auto"/>
        <w:rPr>
          <w:rFonts w:ascii="Times New Roman" w:hAnsi="Times New Roman" w:cs="Times New Roman"/>
          <w:sz w:val="24"/>
          <w:szCs w:val="24"/>
        </w:rPr>
      </w:pPr>
    </w:p>
    <w:p w:rsidR="00F95B93" w:rsidRDefault="00F95B93" w:rsidP="004238BC">
      <w:pPr>
        <w:spacing w:line="480" w:lineRule="auto"/>
        <w:rPr>
          <w:rFonts w:ascii="Times New Roman" w:hAnsi="Times New Roman" w:cs="Times New Roman"/>
          <w:sz w:val="24"/>
          <w:szCs w:val="24"/>
        </w:rPr>
      </w:pPr>
    </w:p>
    <w:p w:rsidR="00F95B93" w:rsidRDefault="00F95B93" w:rsidP="004238BC">
      <w:pPr>
        <w:spacing w:line="480" w:lineRule="auto"/>
        <w:rPr>
          <w:rFonts w:ascii="Times New Roman" w:hAnsi="Times New Roman" w:cs="Times New Roman"/>
          <w:sz w:val="24"/>
          <w:szCs w:val="24"/>
        </w:rPr>
      </w:pPr>
    </w:p>
    <w:p w:rsidR="00F95B93" w:rsidRDefault="00F95B93" w:rsidP="004238BC">
      <w:pPr>
        <w:spacing w:line="480" w:lineRule="auto"/>
        <w:rPr>
          <w:rFonts w:ascii="Times New Roman" w:hAnsi="Times New Roman" w:cs="Times New Roman"/>
          <w:sz w:val="24"/>
          <w:szCs w:val="24"/>
        </w:rPr>
      </w:pPr>
    </w:p>
    <w:p w:rsidR="00F95B93" w:rsidRPr="005860B5" w:rsidRDefault="00F95B93" w:rsidP="00F95B93">
      <w:pPr>
        <w:spacing w:line="480" w:lineRule="auto"/>
        <w:rPr>
          <w:rFonts w:ascii="Times New Roman" w:hAnsi="Times New Roman" w:cs="Times New Roman"/>
          <w:b/>
          <w:sz w:val="24"/>
          <w:szCs w:val="24"/>
        </w:rPr>
      </w:pPr>
      <w:r w:rsidRPr="005860B5">
        <w:rPr>
          <w:rFonts w:ascii="Times New Roman" w:hAnsi="Times New Roman" w:cs="Times New Roman"/>
          <w:b/>
          <w:sz w:val="24"/>
          <w:szCs w:val="24"/>
        </w:rPr>
        <w:lastRenderedPageBreak/>
        <w:t>Conclusions and recommendations</w:t>
      </w:r>
    </w:p>
    <w:p w:rsidR="00F95B93" w:rsidRPr="004E4609" w:rsidRDefault="00F95B93" w:rsidP="00F95B93">
      <w:pPr>
        <w:spacing w:line="480" w:lineRule="auto"/>
        <w:ind w:firstLine="720"/>
        <w:rPr>
          <w:rFonts w:ascii="Times New Roman" w:hAnsi="Times New Roman" w:cs="Times New Roman"/>
          <w:sz w:val="24"/>
          <w:szCs w:val="24"/>
        </w:rPr>
      </w:pPr>
      <w:r w:rsidRPr="004E4609">
        <w:rPr>
          <w:rFonts w:ascii="Times New Roman" w:hAnsi="Times New Roman" w:cs="Times New Roman"/>
          <w:sz w:val="24"/>
          <w:szCs w:val="24"/>
        </w:rPr>
        <w:t xml:space="preserve">  BPA has been broadly talked about in the press, and it has been the subject of an exceptional investigation by legislative, administrative organizations. The US FDA now requires items like infant jugs, which are for the newborn child to be free of the harmful chemical substance, and this choice was to a great extent based on worries its effect on the weight of children. The National Center for Toxicology Research moreover reasoned that the exchange of BPA from mother to embryo from food items is small to the point that it can't be dependably measured. The FDA states on its site that proceeded with research and audit of the writing will be performed, and the office will rethink its position as required. </w:t>
      </w:r>
    </w:p>
    <w:p w:rsidR="006B3159" w:rsidRPr="006B3159" w:rsidRDefault="006B3159" w:rsidP="006B3159">
      <w:pPr>
        <w:spacing w:line="480" w:lineRule="auto"/>
        <w:ind w:firstLine="720"/>
        <w:rPr>
          <w:rFonts w:ascii="Times New Roman" w:hAnsi="Times New Roman" w:cs="Times New Roman"/>
          <w:sz w:val="24"/>
          <w:szCs w:val="24"/>
        </w:rPr>
      </w:pPr>
      <w:r w:rsidRPr="006B3159">
        <w:rPr>
          <w:rFonts w:ascii="Times New Roman" w:hAnsi="Times New Roman" w:cs="Times New Roman"/>
          <w:sz w:val="24"/>
          <w:szCs w:val="24"/>
        </w:rPr>
        <w:t xml:space="preserve">A few people, government officials, and plastic materials industry players have constantly held a wrong presumption and misinterpretation that BPA does not have the ability to meddle with the best possible working of the body. Some of these people hold that the human body is adequately prepared to separate these chemicals and transform them into substances that would be innocuous to the body. It is important to demonstrate that this position is informal and misdirecting. A bit of research from Health Canada recommends that it is erroneous to suggest that the body can separate BPA into substances that don't represent any danger to the body. In accordance with this presumption, the examination shows that the liver is not in a position to utilize the BPA substance in the materials into something that the body can deal with. </w:t>
      </w:r>
    </w:p>
    <w:p w:rsidR="006B3159" w:rsidRPr="006B3159" w:rsidRDefault="006B3159" w:rsidP="006B3159">
      <w:pPr>
        <w:spacing w:line="480" w:lineRule="auto"/>
        <w:ind w:firstLine="720"/>
        <w:rPr>
          <w:rFonts w:ascii="Times New Roman" w:hAnsi="Times New Roman" w:cs="Times New Roman"/>
          <w:sz w:val="24"/>
          <w:szCs w:val="24"/>
        </w:rPr>
      </w:pPr>
      <w:r w:rsidRPr="006B3159">
        <w:rPr>
          <w:rFonts w:ascii="Times New Roman" w:hAnsi="Times New Roman" w:cs="Times New Roman"/>
          <w:sz w:val="24"/>
          <w:szCs w:val="24"/>
        </w:rPr>
        <w:t xml:space="preserve">Inside six hours after the body is presented to the substance, the liver gets without hesitation and utilizes around half of the BPA fixation that has into the body. The greater part of this substance is utilized into a more straightforward substance called the glucuronide which the body can discharge to demonstrate their point; the scientists infused the used material into a </w:t>
      </w:r>
      <w:r w:rsidRPr="006B3159">
        <w:rPr>
          <w:rFonts w:ascii="Times New Roman" w:hAnsi="Times New Roman" w:cs="Times New Roman"/>
          <w:sz w:val="24"/>
          <w:szCs w:val="24"/>
        </w:rPr>
        <w:lastRenderedPageBreak/>
        <w:t xml:space="preserve">mouse and a human cell. From this action, it wound up noticeably obvious that there was a huge amassing of lipid. The goal of this was to decide if glucuronide was an idle substance as had been shown by different researchers. </w:t>
      </w:r>
    </w:p>
    <w:p w:rsidR="006B3159" w:rsidRPr="006B3159" w:rsidRDefault="006B3159" w:rsidP="006B3159">
      <w:pPr>
        <w:spacing w:line="480" w:lineRule="auto"/>
        <w:ind w:firstLine="720"/>
        <w:rPr>
          <w:rFonts w:ascii="Times New Roman" w:hAnsi="Times New Roman" w:cs="Times New Roman"/>
          <w:sz w:val="24"/>
          <w:szCs w:val="24"/>
        </w:rPr>
      </w:pPr>
      <w:r w:rsidRPr="006B3159">
        <w:rPr>
          <w:rFonts w:ascii="Times New Roman" w:hAnsi="Times New Roman" w:cs="Times New Roman"/>
          <w:sz w:val="24"/>
          <w:szCs w:val="24"/>
        </w:rPr>
        <w:t xml:space="preserve">The rule that the researchers utilized as a part of this case is the way that not every single human cell can gather fats. In such manner, if the phones that don't amass fats are found to have lipids simply after the infusion of the processed substance, then that would be a reasonable flag that glucuronide is for sure organically dynamic. While without a doubt the liver assumes a noteworthy part in sifting the chemicals that get into the body and shield them from making harm the body, it is additionally genuine that it doesn't do the cleaning. That is, the liver does not have the ability to expel hurtful substances from the body. That acknowledgment flies appropriate despite contentions that the human body is in a position to change over BPA into different types of components which it can then innocuously discharge from the framework. </w:t>
      </w:r>
    </w:p>
    <w:p w:rsidR="006B3159" w:rsidRDefault="006B3159" w:rsidP="006B3159">
      <w:pPr>
        <w:spacing w:line="480" w:lineRule="auto"/>
        <w:ind w:firstLine="720"/>
        <w:rPr>
          <w:rFonts w:ascii="Times New Roman" w:hAnsi="Times New Roman" w:cs="Times New Roman"/>
          <w:sz w:val="24"/>
          <w:szCs w:val="24"/>
        </w:rPr>
      </w:pPr>
      <w:r w:rsidRPr="006B3159">
        <w:rPr>
          <w:rFonts w:ascii="Times New Roman" w:hAnsi="Times New Roman" w:cs="Times New Roman"/>
          <w:sz w:val="24"/>
          <w:szCs w:val="24"/>
        </w:rPr>
        <w:t xml:space="preserve">At long last, in the 1980s, there was a sudden increment in the generation of BPA in America. Records demonstrate that the makers created billions of BPA materials. Amid this time, the different partners wound up plainly concerned and looked to discover the impacts of the materials particularly as to corpulence. In 1988, the National Toxicology program done research and made distributions on the wellbeing impacts that emerge from the proceeded with utilization of the substance in materials. In the 1988 discoveries, the specialists found that there is an immediate connection between the use of the chemicals and the expansion in the instances of stoutness among individuals. The focal contention of the scientists is that the compound meddles with the endocrine framework. The truth of the matter is that BPA is found to encourage the creation, handling, and transportation of hormones that upset the ordinary working of the endocrine framework. At last, every one of the articles and distributions point at a solitary </w:t>
      </w:r>
      <w:r w:rsidRPr="006B3159">
        <w:rPr>
          <w:rFonts w:ascii="Times New Roman" w:hAnsi="Times New Roman" w:cs="Times New Roman"/>
          <w:sz w:val="24"/>
          <w:szCs w:val="24"/>
        </w:rPr>
        <w:lastRenderedPageBreak/>
        <w:t>pattern that is brought on by proceeded with introduction to the substance. In such manner, they point at a typical pattern in numerous groups where the proceeded with utilization of BPA-made materials adds to stoutness. The articles, thusly, require the abrogation of the chemicals really taking shape of plastic materials.</w:t>
      </w:r>
    </w:p>
    <w:p w:rsidR="00F95B93" w:rsidRPr="004E4609" w:rsidRDefault="00F95B93" w:rsidP="00F95B93">
      <w:pPr>
        <w:spacing w:line="480" w:lineRule="auto"/>
        <w:ind w:firstLine="720"/>
        <w:rPr>
          <w:rFonts w:ascii="Times New Roman" w:hAnsi="Times New Roman" w:cs="Times New Roman"/>
          <w:sz w:val="24"/>
          <w:szCs w:val="24"/>
        </w:rPr>
      </w:pPr>
      <w:r w:rsidRPr="004E4609">
        <w:rPr>
          <w:rFonts w:ascii="Times New Roman" w:hAnsi="Times New Roman" w:cs="Times New Roman"/>
          <w:sz w:val="24"/>
          <w:szCs w:val="24"/>
        </w:rPr>
        <w:t xml:space="preserve">In the inexorably industrialized worldwide society, BPA has additionally gotten consideration from nongovernment associations including the United Nations and the World Health Organization. In light of human concerns, the WHO and the United Nations Food and Agriculture Organization assembled a specialist board to examine BPA in 2010. After looking into information from different works and epidemiological reviews, the board inferred that BPA is a genuine worry for newborn children and babies on neurological improvement, albeit just at high dosages. In any case, the WHO likewise closed there was no abundance chance for other age bunches presented to low dosages of BPA all the time. There was an acknowledgment of the potential for estrogenic impacts. </w:t>
      </w:r>
    </w:p>
    <w:p w:rsidR="00F95B93" w:rsidRDefault="00F95B93" w:rsidP="00F95B93">
      <w:pPr>
        <w:spacing w:line="480" w:lineRule="auto"/>
        <w:ind w:firstLine="720"/>
        <w:rPr>
          <w:rFonts w:ascii="Times New Roman" w:hAnsi="Times New Roman" w:cs="Times New Roman"/>
          <w:sz w:val="24"/>
          <w:szCs w:val="24"/>
        </w:rPr>
      </w:pPr>
      <w:r w:rsidRPr="004E4609">
        <w:rPr>
          <w:rFonts w:ascii="Times New Roman" w:hAnsi="Times New Roman" w:cs="Times New Roman"/>
          <w:sz w:val="24"/>
          <w:szCs w:val="24"/>
        </w:rPr>
        <w:t xml:space="preserve">Examinations of cross-sectional information from epidemiological reviews testing have to a great extent demonstrated a positive relationship between urinary BPA levels and metabolic maladies, for example, obesity. Be that as it may, there are caveats that exist with extrapolating coordinated levels of presentation to a single cross-sectional urinary example. Preclinical reviews have yielded clashing outcomes, yet there is some current sign that BPA may have significant effects on the weights of people especially children. The most thoroughly performed reviews don't show an impact BPA on the improvement of weight in posterity presented to BPA prenatally. The main agreement that at the moment exists among the lay, logical and administrative groups is that further review is required decide the full degree of BPA's effect on human wellbeing and metabolic results. The need to play out this examination in a thorough and </w:t>
      </w:r>
      <w:r w:rsidRPr="004E4609">
        <w:rPr>
          <w:rFonts w:ascii="Times New Roman" w:hAnsi="Times New Roman" w:cs="Times New Roman"/>
          <w:sz w:val="24"/>
          <w:szCs w:val="24"/>
        </w:rPr>
        <w:lastRenderedPageBreak/>
        <w:t>institutionalized design is central, and there is a requirement for pioneers in the field to take an interest in the foundations of rules for BPA testing in research facility models. In human populations, longitudinal information that precisely characterizes levels of tissue BPA presentation combined with forthcoming measures of advancement is earnestly required.</w:t>
      </w:r>
    </w:p>
    <w:p w:rsidR="00F95B93" w:rsidRDefault="00F95B93" w:rsidP="00F95B93">
      <w:pPr>
        <w:spacing w:line="480" w:lineRule="auto"/>
        <w:ind w:firstLine="720"/>
        <w:rPr>
          <w:rFonts w:ascii="Times New Roman" w:hAnsi="Times New Roman" w:cs="Times New Roman"/>
          <w:sz w:val="24"/>
          <w:szCs w:val="24"/>
        </w:rPr>
      </w:pPr>
    </w:p>
    <w:p w:rsidR="00F95B93" w:rsidRDefault="00F95B93" w:rsidP="00F95B93">
      <w:pPr>
        <w:spacing w:line="480" w:lineRule="auto"/>
        <w:ind w:firstLine="720"/>
        <w:rPr>
          <w:rFonts w:ascii="Times New Roman" w:hAnsi="Times New Roman" w:cs="Times New Roman"/>
          <w:sz w:val="24"/>
          <w:szCs w:val="24"/>
        </w:rPr>
      </w:pPr>
    </w:p>
    <w:p w:rsidR="00F95B93" w:rsidRDefault="00F95B93" w:rsidP="00F95B93">
      <w:pPr>
        <w:spacing w:line="480" w:lineRule="auto"/>
        <w:ind w:firstLine="720"/>
        <w:rPr>
          <w:rFonts w:ascii="Times New Roman" w:hAnsi="Times New Roman" w:cs="Times New Roman"/>
          <w:sz w:val="24"/>
          <w:szCs w:val="24"/>
        </w:rPr>
      </w:pPr>
    </w:p>
    <w:p w:rsidR="00F95B93" w:rsidRDefault="00F95B93" w:rsidP="00F95B93">
      <w:pPr>
        <w:spacing w:line="480" w:lineRule="auto"/>
        <w:ind w:firstLine="720"/>
        <w:rPr>
          <w:rFonts w:ascii="Times New Roman" w:hAnsi="Times New Roman" w:cs="Times New Roman"/>
          <w:sz w:val="24"/>
          <w:szCs w:val="24"/>
        </w:rPr>
      </w:pPr>
    </w:p>
    <w:p w:rsidR="00F95B93" w:rsidRDefault="00F95B93" w:rsidP="00F95B93">
      <w:pPr>
        <w:spacing w:line="480" w:lineRule="auto"/>
        <w:ind w:firstLine="720"/>
        <w:rPr>
          <w:rFonts w:ascii="Times New Roman" w:hAnsi="Times New Roman" w:cs="Times New Roman"/>
          <w:sz w:val="24"/>
          <w:szCs w:val="24"/>
        </w:rPr>
      </w:pPr>
    </w:p>
    <w:p w:rsidR="00F95B93" w:rsidRDefault="00F95B93" w:rsidP="00F95B93">
      <w:pPr>
        <w:spacing w:line="480" w:lineRule="auto"/>
        <w:ind w:firstLine="720"/>
        <w:rPr>
          <w:rFonts w:ascii="Times New Roman" w:hAnsi="Times New Roman" w:cs="Times New Roman"/>
          <w:sz w:val="24"/>
          <w:szCs w:val="24"/>
        </w:rPr>
      </w:pPr>
    </w:p>
    <w:p w:rsidR="00F95B93" w:rsidRDefault="00F95B93" w:rsidP="00F95B93">
      <w:pPr>
        <w:spacing w:line="480" w:lineRule="auto"/>
        <w:ind w:firstLine="720"/>
        <w:rPr>
          <w:rFonts w:ascii="Times New Roman" w:hAnsi="Times New Roman" w:cs="Times New Roman"/>
          <w:sz w:val="24"/>
          <w:szCs w:val="24"/>
        </w:rPr>
      </w:pPr>
    </w:p>
    <w:p w:rsidR="00F95B93" w:rsidRDefault="00F95B93" w:rsidP="00F95B93">
      <w:pPr>
        <w:spacing w:line="480" w:lineRule="auto"/>
        <w:ind w:firstLine="720"/>
        <w:rPr>
          <w:rFonts w:ascii="Times New Roman" w:hAnsi="Times New Roman" w:cs="Times New Roman"/>
          <w:sz w:val="24"/>
          <w:szCs w:val="24"/>
        </w:rPr>
      </w:pPr>
    </w:p>
    <w:p w:rsidR="00F95B93" w:rsidRDefault="00F95B93" w:rsidP="00F95B93">
      <w:pPr>
        <w:spacing w:line="480" w:lineRule="auto"/>
        <w:rPr>
          <w:rFonts w:ascii="Times New Roman" w:hAnsi="Times New Roman" w:cs="Times New Roman"/>
          <w:sz w:val="24"/>
          <w:szCs w:val="24"/>
        </w:rPr>
      </w:pPr>
    </w:p>
    <w:p w:rsidR="00F95B93" w:rsidRDefault="00F95B93" w:rsidP="00F95B93">
      <w:pPr>
        <w:spacing w:line="480" w:lineRule="auto"/>
        <w:jc w:val="center"/>
        <w:rPr>
          <w:rFonts w:ascii="Times New Roman" w:hAnsi="Times New Roman" w:cs="Times New Roman"/>
          <w:sz w:val="24"/>
          <w:szCs w:val="24"/>
        </w:rPr>
      </w:pPr>
    </w:p>
    <w:p w:rsidR="004D6CF6" w:rsidRDefault="004D6CF6" w:rsidP="00F95B93">
      <w:pPr>
        <w:spacing w:line="480" w:lineRule="auto"/>
        <w:jc w:val="center"/>
        <w:rPr>
          <w:rFonts w:ascii="Times New Roman" w:hAnsi="Times New Roman" w:cs="Times New Roman"/>
          <w:sz w:val="24"/>
          <w:szCs w:val="24"/>
        </w:rPr>
      </w:pPr>
    </w:p>
    <w:p w:rsidR="004D6CF6" w:rsidRDefault="004D6CF6" w:rsidP="00F95B93">
      <w:pPr>
        <w:spacing w:line="480" w:lineRule="auto"/>
        <w:jc w:val="center"/>
        <w:rPr>
          <w:rFonts w:ascii="Times New Roman" w:hAnsi="Times New Roman" w:cs="Times New Roman"/>
          <w:sz w:val="24"/>
          <w:szCs w:val="24"/>
        </w:rPr>
      </w:pPr>
    </w:p>
    <w:p w:rsidR="004D6CF6" w:rsidRDefault="004D6CF6" w:rsidP="00F95B93">
      <w:pPr>
        <w:spacing w:line="480" w:lineRule="auto"/>
        <w:jc w:val="center"/>
        <w:rPr>
          <w:rFonts w:ascii="Times New Roman" w:hAnsi="Times New Roman" w:cs="Times New Roman"/>
          <w:sz w:val="24"/>
          <w:szCs w:val="24"/>
        </w:rPr>
      </w:pPr>
    </w:p>
    <w:p w:rsidR="004D6CF6" w:rsidRDefault="004D6CF6" w:rsidP="00F95B93">
      <w:pPr>
        <w:spacing w:line="480" w:lineRule="auto"/>
        <w:jc w:val="center"/>
        <w:rPr>
          <w:rFonts w:ascii="Times New Roman" w:hAnsi="Times New Roman" w:cs="Times New Roman"/>
          <w:sz w:val="24"/>
          <w:szCs w:val="24"/>
        </w:rPr>
      </w:pPr>
    </w:p>
    <w:p w:rsidR="00F95B93" w:rsidRPr="005860B5" w:rsidRDefault="00F95B93" w:rsidP="00F95B93">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F95B93" w:rsidRPr="00FF371E" w:rsidRDefault="00F95B93" w:rsidP="00F95B93">
      <w:pPr>
        <w:spacing w:line="480" w:lineRule="auto"/>
        <w:ind w:left="720" w:hanging="720"/>
        <w:rPr>
          <w:rFonts w:ascii="Times New Roman" w:hAnsi="Times New Roman" w:cs="Times New Roman"/>
          <w:color w:val="222222"/>
          <w:sz w:val="24"/>
          <w:szCs w:val="24"/>
          <w:shd w:val="clear" w:color="auto" w:fill="FFFFFF"/>
        </w:rPr>
      </w:pPr>
      <w:r w:rsidRPr="00FF371E">
        <w:rPr>
          <w:rFonts w:ascii="Times New Roman" w:hAnsi="Times New Roman" w:cs="Times New Roman"/>
          <w:color w:val="222222"/>
          <w:sz w:val="24"/>
          <w:szCs w:val="24"/>
          <w:shd w:val="clear" w:color="auto" w:fill="FFFFFF"/>
        </w:rPr>
        <w:t>Calafat, A. M., Ye, X., Wong, L. Y., Reidy, J. A., &amp; Needham, L. L. (2008). Exposure of the US population to bisphenol A and 4-tertiary-octylphenol: 2003-2004.</w:t>
      </w:r>
      <w:r w:rsidRPr="00FF371E">
        <w:rPr>
          <w:rStyle w:val="apple-converted-space"/>
          <w:rFonts w:ascii="Times New Roman" w:hAnsi="Times New Roman" w:cs="Times New Roman"/>
          <w:color w:val="222222"/>
          <w:sz w:val="24"/>
          <w:szCs w:val="24"/>
          <w:shd w:val="clear" w:color="auto" w:fill="FFFFFF"/>
        </w:rPr>
        <w:t> </w:t>
      </w:r>
      <w:r w:rsidRPr="00FF371E">
        <w:rPr>
          <w:rFonts w:ascii="Times New Roman" w:hAnsi="Times New Roman" w:cs="Times New Roman"/>
          <w:i/>
          <w:iCs/>
          <w:color w:val="222222"/>
          <w:sz w:val="24"/>
          <w:szCs w:val="24"/>
          <w:shd w:val="clear" w:color="auto" w:fill="FFFFFF"/>
        </w:rPr>
        <w:t>Environmental health perspectives</w:t>
      </w:r>
      <w:r w:rsidRPr="00FF371E">
        <w:rPr>
          <w:rFonts w:ascii="Times New Roman" w:hAnsi="Times New Roman" w:cs="Times New Roman"/>
          <w:color w:val="222222"/>
          <w:sz w:val="24"/>
          <w:szCs w:val="24"/>
          <w:shd w:val="clear" w:color="auto" w:fill="FFFFFF"/>
        </w:rPr>
        <w:t>, 39-44.</w:t>
      </w:r>
    </w:p>
    <w:p w:rsidR="00F95B93" w:rsidRPr="00FF371E" w:rsidRDefault="00F95B93" w:rsidP="00F95B93">
      <w:pPr>
        <w:spacing w:line="480" w:lineRule="auto"/>
        <w:ind w:left="720" w:hanging="720"/>
        <w:rPr>
          <w:rFonts w:ascii="Times New Roman" w:hAnsi="Times New Roman" w:cs="Times New Roman"/>
          <w:color w:val="222222"/>
          <w:sz w:val="24"/>
          <w:szCs w:val="24"/>
          <w:shd w:val="clear" w:color="auto" w:fill="FFFFFF"/>
        </w:rPr>
      </w:pPr>
      <w:r w:rsidRPr="00FF371E">
        <w:rPr>
          <w:rFonts w:ascii="Times New Roman" w:hAnsi="Times New Roman" w:cs="Times New Roman"/>
          <w:color w:val="222222"/>
          <w:sz w:val="24"/>
          <w:szCs w:val="24"/>
          <w:shd w:val="clear" w:color="auto" w:fill="FFFFFF"/>
        </w:rPr>
        <w:t>Richter, C. A., Birnbaum, L. S., Farabollini, F., Newbold, R. R., Rubin, B. S., Talsness, C. E., ... &amp; vom Saal, F. S. (2007). In vivo effects of bisphenol A in laboratory rodent studies.</w:t>
      </w:r>
      <w:r w:rsidRPr="00FF371E">
        <w:rPr>
          <w:rStyle w:val="apple-converted-space"/>
          <w:rFonts w:ascii="Times New Roman" w:hAnsi="Times New Roman" w:cs="Times New Roman"/>
          <w:color w:val="222222"/>
          <w:sz w:val="24"/>
          <w:szCs w:val="24"/>
          <w:shd w:val="clear" w:color="auto" w:fill="FFFFFF"/>
        </w:rPr>
        <w:t> </w:t>
      </w:r>
      <w:r w:rsidRPr="00FF371E">
        <w:rPr>
          <w:rFonts w:ascii="Times New Roman" w:hAnsi="Times New Roman" w:cs="Times New Roman"/>
          <w:i/>
          <w:iCs/>
          <w:color w:val="222222"/>
          <w:sz w:val="24"/>
          <w:szCs w:val="24"/>
          <w:shd w:val="clear" w:color="auto" w:fill="FFFFFF"/>
        </w:rPr>
        <w:t>Reproductive toxicology</w:t>
      </w:r>
      <w:r w:rsidRPr="00FF371E">
        <w:rPr>
          <w:rFonts w:ascii="Times New Roman" w:hAnsi="Times New Roman" w:cs="Times New Roman"/>
          <w:color w:val="222222"/>
          <w:sz w:val="24"/>
          <w:szCs w:val="24"/>
          <w:shd w:val="clear" w:color="auto" w:fill="FFFFFF"/>
        </w:rPr>
        <w:t>,</w:t>
      </w:r>
      <w:r w:rsidRPr="00FF371E">
        <w:rPr>
          <w:rStyle w:val="apple-converted-space"/>
          <w:rFonts w:ascii="Times New Roman" w:hAnsi="Times New Roman" w:cs="Times New Roman"/>
          <w:color w:val="222222"/>
          <w:sz w:val="24"/>
          <w:szCs w:val="24"/>
          <w:shd w:val="clear" w:color="auto" w:fill="FFFFFF"/>
        </w:rPr>
        <w:t> </w:t>
      </w:r>
      <w:r w:rsidRPr="00FF371E">
        <w:rPr>
          <w:rFonts w:ascii="Times New Roman" w:hAnsi="Times New Roman" w:cs="Times New Roman"/>
          <w:i/>
          <w:iCs/>
          <w:color w:val="222222"/>
          <w:sz w:val="24"/>
          <w:szCs w:val="24"/>
          <w:shd w:val="clear" w:color="auto" w:fill="FFFFFF"/>
        </w:rPr>
        <w:t>24</w:t>
      </w:r>
      <w:r w:rsidRPr="00FF371E">
        <w:rPr>
          <w:rFonts w:ascii="Times New Roman" w:hAnsi="Times New Roman" w:cs="Times New Roman"/>
          <w:color w:val="222222"/>
          <w:sz w:val="24"/>
          <w:szCs w:val="24"/>
          <w:shd w:val="clear" w:color="auto" w:fill="FFFFFF"/>
        </w:rPr>
        <w:t>(2), 199-224.</w:t>
      </w:r>
    </w:p>
    <w:p w:rsidR="00F95B93" w:rsidRPr="00FF371E" w:rsidRDefault="00F95B93" w:rsidP="00F95B93">
      <w:pPr>
        <w:spacing w:line="480" w:lineRule="auto"/>
        <w:ind w:left="720" w:hanging="720"/>
        <w:rPr>
          <w:rFonts w:ascii="Times New Roman" w:hAnsi="Times New Roman" w:cs="Times New Roman"/>
          <w:color w:val="222222"/>
          <w:sz w:val="24"/>
          <w:szCs w:val="24"/>
          <w:shd w:val="clear" w:color="auto" w:fill="FFFFFF"/>
        </w:rPr>
      </w:pPr>
      <w:r w:rsidRPr="00FF371E">
        <w:rPr>
          <w:rFonts w:ascii="Times New Roman" w:hAnsi="Times New Roman" w:cs="Times New Roman"/>
          <w:color w:val="222222"/>
          <w:sz w:val="24"/>
          <w:szCs w:val="24"/>
          <w:shd w:val="clear" w:color="auto" w:fill="FFFFFF"/>
        </w:rPr>
        <w:t>Vandenberg, L. N., Hauser, R., Marcus, M., Olea, N., &amp; Welshons, W. V. (2007). Human exposure to bisphenol A (BPA).</w:t>
      </w:r>
      <w:r w:rsidRPr="00FF371E">
        <w:rPr>
          <w:rStyle w:val="apple-converted-space"/>
          <w:rFonts w:ascii="Times New Roman" w:hAnsi="Times New Roman" w:cs="Times New Roman"/>
          <w:color w:val="222222"/>
          <w:sz w:val="24"/>
          <w:szCs w:val="24"/>
          <w:shd w:val="clear" w:color="auto" w:fill="FFFFFF"/>
        </w:rPr>
        <w:t> </w:t>
      </w:r>
      <w:r w:rsidRPr="00FF371E">
        <w:rPr>
          <w:rFonts w:ascii="Times New Roman" w:hAnsi="Times New Roman" w:cs="Times New Roman"/>
          <w:i/>
          <w:iCs/>
          <w:color w:val="222222"/>
          <w:sz w:val="24"/>
          <w:szCs w:val="24"/>
          <w:shd w:val="clear" w:color="auto" w:fill="FFFFFF"/>
        </w:rPr>
        <w:t>Reproductive toxicology</w:t>
      </w:r>
      <w:r w:rsidRPr="00FF371E">
        <w:rPr>
          <w:rFonts w:ascii="Times New Roman" w:hAnsi="Times New Roman" w:cs="Times New Roman"/>
          <w:color w:val="222222"/>
          <w:sz w:val="24"/>
          <w:szCs w:val="24"/>
          <w:shd w:val="clear" w:color="auto" w:fill="FFFFFF"/>
        </w:rPr>
        <w:t>,</w:t>
      </w:r>
      <w:r w:rsidRPr="00FF371E">
        <w:rPr>
          <w:rStyle w:val="apple-converted-space"/>
          <w:rFonts w:ascii="Times New Roman" w:hAnsi="Times New Roman" w:cs="Times New Roman"/>
          <w:color w:val="222222"/>
          <w:sz w:val="24"/>
          <w:szCs w:val="24"/>
          <w:shd w:val="clear" w:color="auto" w:fill="FFFFFF"/>
        </w:rPr>
        <w:t> </w:t>
      </w:r>
      <w:r w:rsidRPr="00FF371E">
        <w:rPr>
          <w:rFonts w:ascii="Times New Roman" w:hAnsi="Times New Roman" w:cs="Times New Roman"/>
          <w:i/>
          <w:iCs/>
          <w:color w:val="222222"/>
          <w:sz w:val="24"/>
          <w:szCs w:val="24"/>
          <w:shd w:val="clear" w:color="auto" w:fill="FFFFFF"/>
        </w:rPr>
        <w:t>24</w:t>
      </w:r>
      <w:r w:rsidRPr="00FF371E">
        <w:rPr>
          <w:rFonts w:ascii="Times New Roman" w:hAnsi="Times New Roman" w:cs="Times New Roman"/>
          <w:color w:val="222222"/>
          <w:sz w:val="24"/>
          <w:szCs w:val="24"/>
          <w:shd w:val="clear" w:color="auto" w:fill="FFFFFF"/>
        </w:rPr>
        <w:t>(2), 139-177.</w:t>
      </w:r>
    </w:p>
    <w:p w:rsidR="00F95B93" w:rsidRPr="00FF371E" w:rsidRDefault="00F95B93" w:rsidP="00F95B93">
      <w:pPr>
        <w:spacing w:line="480" w:lineRule="auto"/>
        <w:ind w:left="720" w:hanging="720"/>
        <w:rPr>
          <w:rFonts w:ascii="Times New Roman" w:hAnsi="Times New Roman" w:cs="Times New Roman"/>
          <w:color w:val="222222"/>
          <w:sz w:val="24"/>
          <w:szCs w:val="24"/>
          <w:shd w:val="clear" w:color="auto" w:fill="FFFFFF"/>
        </w:rPr>
      </w:pPr>
      <w:r w:rsidRPr="00FF371E">
        <w:rPr>
          <w:rFonts w:ascii="Times New Roman" w:hAnsi="Times New Roman" w:cs="Times New Roman"/>
          <w:color w:val="222222"/>
          <w:sz w:val="24"/>
          <w:szCs w:val="24"/>
          <w:shd w:val="clear" w:color="auto" w:fill="FFFFFF"/>
        </w:rPr>
        <w:t>Vandenberg, L. N., Maffini, M. V., Sonnenschei</w:t>
      </w:r>
      <w:bookmarkStart w:id="0" w:name="_GoBack"/>
      <w:bookmarkEnd w:id="0"/>
      <w:r w:rsidRPr="00FF371E">
        <w:rPr>
          <w:rFonts w:ascii="Times New Roman" w:hAnsi="Times New Roman" w:cs="Times New Roman"/>
          <w:color w:val="222222"/>
          <w:sz w:val="24"/>
          <w:szCs w:val="24"/>
          <w:shd w:val="clear" w:color="auto" w:fill="FFFFFF"/>
        </w:rPr>
        <w:t>n, C., Rubin, B. S., &amp; Soto, A. M. (2009). Bisphenol-A and the great divide: a review of controversies in the field of endocrine disruption.</w:t>
      </w:r>
      <w:r w:rsidRPr="00FF371E">
        <w:rPr>
          <w:rStyle w:val="apple-converted-space"/>
          <w:rFonts w:ascii="Times New Roman" w:hAnsi="Times New Roman" w:cs="Times New Roman"/>
          <w:color w:val="222222"/>
          <w:sz w:val="24"/>
          <w:szCs w:val="24"/>
          <w:shd w:val="clear" w:color="auto" w:fill="FFFFFF"/>
        </w:rPr>
        <w:t> </w:t>
      </w:r>
      <w:r w:rsidRPr="00FF371E">
        <w:rPr>
          <w:rFonts w:ascii="Times New Roman" w:hAnsi="Times New Roman" w:cs="Times New Roman"/>
          <w:i/>
          <w:iCs/>
          <w:color w:val="222222"/>
          <w:sz w:val="24"/>
          <w:szCs w:val="24"/>
          <w:shd w:val="clear" w:color="auto" w:fill="FFFFFF"/>
        </w:rPr>
        <w:t>Endocrine reviews</w:t>
      </w:r>
      <w:r w:rsidRPr="00FF371E">
        <w:rPr>
          <w:rFonts w:ascii="Times New Roman" w:hAnsi="Times New Roman" w:cs="Times New Roman"/>
          <w:color w:val="222222"/>
          <w:sz w:val="24"/>
          <w:szCs w:val="24"/>
          <w:shd w:val="clear" w:color="auto" w:fill="FFFFFF"/>
        </w:rPr>
        <w:t>,</w:t>
      </w:r>
      <w:r w:rsidRPr="00FF371E">
        <w:rPr>
          <w:rStyle w:val="apple-converted-space"/>
          <w:rFonts w:ascii="Times New Roman" w:hAnsi="Times New Roman" w:cs="Times New Roman"/>
          <w:color w:val="222222"/>
          <w:sz w:val="24"/>
          <w:szCs w:val="24"/>
          <w:shd w:val="clear" w:color="auto" w:fill="FFFFFF"/>
        </w:rPr>
        <w:t> </w:t>
      </w:r>
      <w:r w:rsidRPr="00FF371E">
        <w:rPr>
          <w:rFonts w:ascii="Times New Roman" w:hAnsi="Times New Roman" w:cs="Times New Roman"/>
          <w:i/>
          <w:iCs/>
          <w:color w:val="222222"/>
          <w:sz w:val="24"/>
          <w:szCs w:val="24"/>
          <w:shd w:val="clear" w:color="auto" w:fill="FFFFFF"/>
        </w:rPr>
        <w:t>30</w:t>
      </w:r>
      <w:r w:rsidRPr="00FF371E">
        <w:rPr>
          <w:rFonts w:ascii="Times New Roman" w:hAnsi="Times New Roman" w:cs="Times New Roman"/>
          <w:color w:val="222222"/>
          <w:sz w:val="24"/>
          <w:szCs w:val="24"/>
          <w:shd w:val="clear" w:color="auto" w:fill="FFFFFF"/>
        </w:rPr>
        <w:t>(1), 75-95.</w:t>
      </w:r>
    </w:p>
    <w:p w:rsidR="00F95B93" w:rsidRPr="00FF371E" w:rsidRDefault="00F95B93" w:rsidP="00F95B93">
      <w:pPr>
        <w:spacing w:line="480" w:lineRule="auto"/>
        <w:ind w:left="720" w:hanging="720"/>
        <w:rPr>
          <w:rFonts w:ascii="Times New Roman" w:hAnsi="Times New Roman" w:cs="Times New Roman"/>
          <w:color w:val="222222"/>
          <w:sz w:val="24"/>
          <w:szCs w:val="24"/>
          <w:shd w:val="clear" w:color="auto" w:fill="FFFFFF"/>
        </w:rPr>
      </w:pPr>
      <w:r w:rsidRPr="00FF371E">
        <w:rPr>
          <w:rFonts w:ascii="Times New Roman" w:hAnsi="Times New Roman" w:cs="Times New Roman"/>
          <w:color w:val="222222"/>
          <w:sz w:val="24"/>
          <w:szCs w:val="24"/>
          <w:shd w:val="clear" w:color="auto" w:fill="FFFFFF"/>
        </w:rPr>
        <w:t>Welshons, W. V., Nagel, S. C., &amp; vom Saal, F. S. (2007). Large effects from small exposures. III. Endocrine mechanisms mediating effects of bisphenol A at levels of human exposure.</w:t>
      </w:r>
      <w:r w:rsidRPr="00FF371E">
        <w:rPr>
          <w:rStyle w:val="apple-converted-space"/>
          <w:rFonts w:ascii="Times New Roman" w:hAnsi="Times New Roman" w:cs="Times New Roman"/>
          <w:color w:val="222222"/>
          <w:sz w:val="24"/>
          <w:szCs w:val="24"/>
          <w:shd w:val="clear" w:color="auto" w:fill="FFFFFF"/>
        </w:rPr>
        <w:t> </w:t>
      </w:r>
      <w:r w:rsidRPr="00FF371E">
        <w:rPr>
          <w:rFonts w:ascii="Times New Roman" w:hAnsi="Times New Roman" w:cs="Times New Roman"/>
          <w:i/>
          <w:iCs/>
          <w:color w:val="222222"/>
          <w:sz w:val="24"/>
          <w:szCs w:val="24"/>
          <w:shd w:val="clear" w:color="auto" w:fill="FFFFFF"/>
        </w:rPr>
        <w:t>Endocrinology</w:t>
      </w:r>
      <w:r w:rsidRPr="00FF371E">
        <w:rPr>
          <w:rFonts w:ascii="Times New Roman" w:hAnsi="Times New Roman" w:cs="Times New Roman"/>
          <w:color w:val="222222"/>
          <w:sz w:val="24"/>
          <w:szCs w:val="24"/>
          <w:shd w:val="clear" w:color="auto" w:fill="FFFFFF"/>
        </w:rPr>
        <w:t>,</w:t>
      </w:r>
      <w:r w:rsidRPr="00FF371E">
        <w:rPr>
          <w:rStyle w:val="apple-converted-space"/>
          <w:rFonts w:ascii="Times New Roman" w:hAnsi="Times New Roman" w:cs="Times New Roman"/>
          <w:color w:val="222222"/>
          <w:sz w:val="24"/>
          <w:szCs w:val="24"/>
          <w:shd w:val="clear" w:color="auto" w:fill="FFFFFF"/>
        </w:rPr>
        <w:t> </w:t>
      </w:r>
      <w:r w:rsidRPr="00FF371E">
        <w:rPr>
          <w:rFonts w:ascii="Times New Roman" w:hAnsi="Times New Roman" w:cs="Times New Roman"/>
          <w:i/>
          <w:iCs/>
          <w:color w:val="222222"/>
          <w:sz w:val="24"/>
          <w:szCs w:val="24"/>
          <w:shd w:val="clear" w:color="auto" w:fill="FFFFFF"/>
        </w:rPr>
        <w:t>147</w:t>
      </w:r>
      <w:r w:rsidRPr="00FF371E">
        <w:rPr>
          <w:rFonts w:ascii="Times New Roman" w:hAnsi="Times New Roman" w:cs="Times New Roman"/>
          <w:color w:val="222222"/>
          <w:sz w:val="24"/>
          <w:szCs w:val="24"/>
          <w:shd w:val="clear" w:color="auto" w:fill="FFFFFF"/>
        </w:rPr>
        <w:t>(6), s56-s69.</w:t>
      </w:r>
    </w:p>
    <w:p w:rsidR="00F95B93" w:rsidRPr="00FF371E" w:rsidRDefault="00F95B93" w:rsidP="00F95B93">
      <w:pPr>
        <w:spacing w:line="480" w:lineRule="auto"/>
        <w:ind w:left="720" w:hanging="720"/>
        <w:rPr>
          <w:rFonts w:ascii="Times New Roman" w:hAnsi="Times New Roman" w:cs="Times New Roman"/>
          <w:sz w:val="24"/>
          <w:szCs w:val="24"/>
        </w:rPr>
      </w:pPr>
      <w:r w:rsidRPr="00FF371E">
        <w:rPr>
          <w:rFonts w:ascii="Times New Roman" w:hAnsi="Times New Roman" w:cs="Times New Roman"/>
          <w:color w:val="222222"/>
          <w:sz w:val="24"/>
          <w:szCs w:val="24"/>
          <w:shd w:val="clear" w:color="auto" w:fill="FFFFFF"/>
        </w:rPr>
        <w:t>Wetherill, Y. B., Akingbemi, B. T., Kanno, J., McLachlan, J. A., Nadal, A., Sonnenschein, C., ... &amp; Belcher, S. M. (2007). In vitro molecular mechanisms of bisphenol A action.</w:t>
      </w:r>
      <w:r w:rsidRPr="00FF371E">
        <w:rPr>
          <w:rStyle w:val="apple-converted-space"/>
          <w:rFonts w:ascii="Times New Roman" w:hAnsi="Times New Roman" w:cs="Times New Roman"/>
          <w:color w:val="222222"/>
          <w:sz w:val="24"/>
          <w:szCs w:val="24"/>
          <w:shd w:val="clear" w:color="auto" w:fill="FFFFFF"/>
        </w:rPr>
        <w:t> </w:t>
      </w:r>
      <w:r w:rsidRPr="00FF371E">
        <w:rPr>
          <w:rFonts w:ascii="Times New Roman" w:hAnsi="Times New Roman" w:cs="Times New Roman"/>
          <w:i/>
          <w:iCs/>
          <w:color w:val="222222"/>
          <w:sz w:val="24"/>
          <w:szCs w:val="24"/>
          <w:shd w:val="clear" w:color="auto" w:fill="FFFFFF"/>
        </w:rPr>
        <w:t>Reproductive toxicology</w:t>
      </w:r>
      <w:r w:rsidRPr="00FF371E">
        <w:rPr>
          <w:rFonts w:ascii="Times New Roman" w:hAnsi="Times New Roman" w:cs="Times New Roman"/>
          <w:color w:val="222222"/>
          <w:sz w:val="24"/>
          <w:szCs w:val="24"/>
          <w:shd w:val="clear" w:color="auto" w:fill="FFFFFF"/>
        </w:rPr>
        <w:t>,</w:t>
      </w:r>
      <w:r w:rsidRPr="00FF371E">
        <w:rPr>
          <w:rStyle w:val="apple-converted-space"/>
          <w:rFonts w:ascii="Times New Roman" w:hAnsi="Times New Roman" w:cs="Times New Roman"/>
          <w:color w:val="222222"/>
          <w:sz w:val="24"/>
          <w:szCs w:val="24"/>
          <w:shd w:val="clear" w:color="auto" w:fill="FFFFFF"/>
        </w:rPr>
        <w:t> </w:t>
      </w:r>
      <w:r w:rsidRPr="00FF371E">
        <w:rPr>
          <w:rFonts w:ascii="Times New Roman" w:hAnsi="Times New Roman" w:cs="Times New Roman"/>
          <w:i/>
          <w:iCs/>
          <w:color w:val="222222"/>
          <w:sz w:val="24"/>
          <w:szCs w:val="24"/>
          <w:shd w:val="clear" w:color="auto" w:fill="FFFFFF"/>
        </w:rPr>
        <w:t>24</w:t>
      </w:r>
      <w:r w:rsidRPr="00FF371E">
        <w:rPr>
          <w:rFonts w:ascii="Times New Roman" w:hAnsi="Times New Roman" w:cs="Times New Roman"/>
          <w:color w:val="222222"/>
          <w:sz w:val="24"/>
          <w:szCs w:val="24"/>
          <w:shd w:val="clear" w:color="auto" w:fill="FFFFFF"/>
        </w:rPr>
        <w:t>(2), 178-198.</w:t>
      </w:r>
    </w:p>
    <w:p w:rsidR="00F95B93" w:rsidRPr="001E166E" w:rsidRDefault="00F95B93" w:rsidP="004238BC">
      <w:pPr>
        <w:spacing w:line="480" w:lineRule="auto"/>
        <w:rPr>
          <w:rFonts w:ascii="Times New Roman" w:hAnsi="Times New Roman" w:cs="Times New Roman"/>
          <w:sz w:val="24"/>
          <w:szCs w:val="24"/>
        </w:rPr>
      </w:pPr>
    </w:p>
    <w:p w:rsidR="004238BC" w:rsidRDefault="004238BC" w:rsidP="004238BC">
      <w:pPr>
        <w:spacing w:line="480" w:lineRule="auto"/>
        <w:rPr>
          <w:rFonts w:ascii="Times New Roman" w:hAnsi="Times New Roman" w:cs="Times New Roman"/>
          <w:sz w:val="24"/>
          <w:szCs w:val="24"/>
        </w:rPr>
      </w:pPr>
    </w:p>
    <w:p w:rsidR="00F95B93" w:rsidRDefault="00F95B93" w:rsidP="004238BC">
      <w:pPr>
        <w:spacing w:line="480" w:lineRule="auto"/>
        <w:rPr>
          <w:rFonts w:ascii="Times New Roman" w:hAnsi="Times New Roman" w:cs="Times New Roman"/>
          <w:sz w:val="24"/>
          <w:szCs w:val="24"/>
        </w:rPr>
      </w:pPr>
    </w:p>
    <w:p w:rsidR="00F95B93" w:rsidRDefault="00F95B93" w:rsidP="004238BC">
      <w:pPr>
        <w:spacing w:line="480" w:lineRule="auto"/>
        <w:rPr>
          <w:rFonts w:ascii="Times New Roman" w:hAnsi="Times New Roman" w:cs="Times New Roman"/>
          <w:sz w:val="24"/>
          <w:szCs w:val="24"/>
        </w:rPr>
      </w:pPr>
    </w:p>
    <w:p w:rsidR="00F95B93" w:rsidRDefault="00F95B93" w:rsidP="004238BC">
      <w:pPr>
        <w:spacing w:line="480" w:lineRule="auto"/>
        <w:rPr>
          <w:rFonts w:ascii="Times New Roman" w:hAnsi="Times New Roman" w:cs="Times New Roman"/>
          <w:sz w:val="24"/>
          <w:szCs w:val="24"/>
        </w:rPr>
      </w:pPr>
    </w:p>
    <w:p w:rsidR="00F95B93" w:rsidRDefault="00F95B93" w:rsidP="004238BC">
      <w:pPr>
        <w:spacing w:line="480" w:lineRule="auto"/>
        <w:rPr>
          <w:rFonts w:ascii="Times New Roman" w:hAnsi="Times New Roman" w:cs="Times New Roman"/>
          <w:sz w:val="24"/>
          <w:szCs w:val="24"/>
        </w:rPr>
      </w:pPr>
    </w:p>
    <w:p w:rsidR="00F95B93" w:rsidRDefault="00F95B93" w:rsidP="004238BC">
      <w:pPr>
        <w:spacing w:line="480" w:lineRule="auto"/>
        <w:rPr>
          <w:rFonts w:ascii="Times New Roman" w:hAnsi="Times New Roman" w:cs="Times New Roman"/>
          <w:sz w:val="24"/>
          <w:szCs w:val="24"/>
        </w:rPr>
      </w:pPr>
    </w:p>
    <w:p w:rsidR="00F95B93" w:rsidRDefault="00F95B93" w:rsidP="004238BC">
      <w:pPr>
        <w:spacing w:line="480" w:lineRule="auto"/>
        <w:rPr>
          <w:rFonts w:ascii="Times New Roman" w:hAnsi="Times New Roman" w:cs="Times New Roman"/>
          <w:sz w:val="24"/>
          <w:szCs w:val="24"/>
        </w:rPr>
      </w:pPr>
    </w:p>
    <w:p w:rsidR="00F95B93" w:rsidRPr="001E166E" w:rsidRDefault="00F95B93" w:rsidP="004238BC">
      <w:pPr>
        <w:spacing w:line="480" w:lineRule="auto"/>
        <w:rPr>
          <w:rFonts w:ascii="Times New Roman" w:hAnsi="Times New Roman" w:cs="Times New Roman"/>
          <w:sz w:val="24"/>
          <w:szCs w:val="24"/>
        </w:rPr>
      </w:pPr>
    </w:p>
    <w:p w:rsidR="006F798E" w:rsidRPr="00350E2C" w:rsidRDefault="006F798E" w:rsidP="004238BC">
      <w:pPr>
        <w:spacing w:line="480" w:lineRule="auto"/>
        <w:jc w:val="center"/>
      </w:pPr>
    </w:p>
    <w:sectPr w:rsidR="006F798E" w:rsidRPr="00350E2C" w:rsidSect="00F8348F">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729D" w:rsidRDefault="0008729D" w:rsidP="00F8348F">
      <w:pPr>
        <w:spacing w:after="0" w:line="240" w:lineRule="auto"/>
      </w:pPr>
      <w:r>
        <w:separator/>
      </w:r>
    </w:p>
  </w:endnote>
  <w:endnote w:type="continuationSeparator" w:id="1">
    <w:p w:rsidR="0008729D" w:rsidRDefault="0008729D" w:rsidP="00F834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729D" w:rsidRDefault="0008729D" w:rsidP="00F8348F">
      <w:pPr>
        <w:spacing w:after="0" w:line="240" w:lineRule="auto"/>
      </w:pPr>
      <w:r>
        <w:separator/>
      </w:r>
    </w:p>
  </w:footnote>
  <w:footnote w:type="continuationSeparator" w:id="1">
    <w:p w:rsidR="0008729D" w:rsidRDefault="0008729D" w:rsidP="00F834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64779"/>
      <w:docPartObj>
        <w:docPartGallery w:val="Page Numbers (Top of Page)"/>
        <w:docPartUnique/>
      </w:docPartObj>
    </w:sdtPr>
    <w:sdtEndPr>
      <w:rPr>
        <w:rFonts w:ascii="Times New Roman" w:hAnsi="Times New Roman" w:cs="Times New Roman"/>
        <w:sz w:val="24"/>
        <w:szCs w:val="24"/>
      </w:rPr>
    </w:sdtEndPr>
    <w:sdtContent>
      <w:p w:rsidR="006F28C4" w:rsidRPr="00F8348F" w:rsidRDefault="006F28C4">
        <w:pPr>
          <w:pStyle w:val="Header"/>
          <w:jc w:val="right"/>
          <w:rPr>
            <w:rFonts w:ascii="Times New Roman" w:hAnsi="Times New Roman" w:cs="Times New Roman"/>
            <w:sz w:val="24"/>
            <w:szCs w:val="24"/>
          </w:rPr>
        </w:pPr>
        <w:r>
          <w:rPr>
            <w:rFonts w:ascii="Times New Roman" w:hAnsi="Times New Roman" w:cs="Times New Roman"/>
            <w:sz w:val="24"/>
            <w:szCs w:val="24"/>
          </w:rPr>
          <w:t>BPA AND OBESITY</w:t>
        </w:r>
        <w:r>
          <w:rPr>
            <w:rFonts w:ascii="Times New Roman" w:hAnsi="Times New Roman" w:cs="Times New Roman"/>
            <w:sz w:val="24"/>
            <w:szCs w:val="24"/>
          </w:rPr>
          <w:tab/>
        </w:r>
        <w:r>
          <w:rPr>
            <w:rFonts w:ascii="Times New Roman" w:hAnsi="Times New Roman" w:cs="Times New Roman"/>
            <w:sz w:val="24"/>
            <w:szCs w:val="24"/>
          </w:rPr>
          <w:tab/>
        </w:r>
        <w:r w:rsidR="004962F3" w:rsidRPr="00F8348F">
          <w:rPr>
            <w:rFonts w:ascii="Times New Roman" w:hAnsi="Times New Roman" w:cs="Times New Roman"/>
            <w:sz w:val="24"/>
            <w:szCs w:val="24"/>
          </w:rPr>
          <w:fldChar w:fldCharType="begin"/>
        </w:r>
        <w:r w:rsidRPr="00F8348F">
          <w:rPr>
            <w:rFonts w:ascii="Times New Roman" w:hAnsi="Times New Roman" w:cs="Times New Roman"/>
            <w:sz w:val="24"/>
            <w:szCs w:val="24"/>
          </w:rPr>
          <w:instrText xml:space="preserve"> PAGE   \* MERGEFORMAT </w:instrText>
        </w:r>
        <w:r w:rsidR="004962F3" w:rsidRPr="00F8348F">
          <w:rPr>
            <w:rFonts w:ascii="Times New Roman" w:hAnsi="Times New Roman" w:cs="Times New Roman"/>
            <w:sz w:val="24"/>
            <w:szCs w:val="24"/>
          </w:rPr>
          <w:fldChar w:fldCharType="separate"/>
        </w:r>
        <w:r w:rsidR="00694679">
          <w:rPr>
            <w:rFonts w:ascii="Times New Roman" w:hAnsi="Times New Roman" w:cs="Times New Roman"/>
            <w:noProof/>
            <w:sz w:val="24"/>
            <w:szCs w:val="24"/>
          </w:rPr>
          <w:t>2</w:t>
        </w:r>
        <w:r w:rsidR="004962F3" w:rsidRPr="00F8348F">
          <w:rPr>
            <w:rFonts w:ascii="Times New Roman" w:hAnsi="Times New Roman" w:cs="Times New Roman"/>
            <w:sz w:val="24"/>
            <w:szCs w:val="24"/>
          </w:rPr>
          <w:fldChar w:fldCharType="end"/>
        </w:r>
      </w:p>
    </w:sdtContent>
  </w:sdt>
  <w:p w:rsidR="006F28C4" w:rsidRDefault="006F28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64783"/>
      <w:docPartObj>
        <w:docPartGallery w:val="Page Numbers (Top of Page)"/>
        <w:docPartUnique/>
      </w:docPartObj>
    </w:sdtPr>
    <w:sdtEndPr>
      <w:rPr>
        <w:rFonts w:ascii="Times New Roman" w:hAnsi="Times New Roman" w:cs="Times New Roman"/>
        <w:sz w:val="24"/>
        <w:szCs w:val="24"/>
      </w:rPr>
    </w:sdtEndPr>
    <w:sdtContent>
      <w:p w:rsidR="006F28C4" w:rsidRPr="00F8348F" w:rsidRDefault="006F28C4">
        <w:pPr>
          <w:pStyle w:val="Header"/>
          <w:jc w:val="right"/>
          <w:rPr>
            <w:rFonts w:ascii="Times New Roman" w:hAnsi="Times New Roman" w:cs="Times New Roman"/>
            <w:sz w:val="24"/>
            <w:szCs w:val="24"/>
          </w:rPr>
        </w:pPr>
        <w:r>
          <w:rPr>
            <w:rFonts w:ascii="Times New Roman" w:hAnsi="Times New Roman" w:cs="Times New Roman"/>
            <w:sz w:val="24"/>
            <w:szCs w:val="24"/>
          </w:rPr>
          <w:t>Running head: BPA AND OBESITY</w:t>
        </w:r>
        <w:r>
          <w:rPr>
            <w:rFonts w:ascii="Times New Roman" w:hAnsi="Times New Roman" w:cs="Times New Roman"/>
            <w:sz w:val="24"/>
            <w:szCs w:val="24"/>
          </w:rPr>
          <w:tab/>
        </w:r>
        <w:r>
          <w:rPr>
            <w:rFonts w:ascii="Times New Roman" w:hAnsi="Times New Roman" w:cs="Times New Roman"/>
            <w:sz w:val="24"/>
            <w:szCs w:val="24"/>
          </w:rPr>
          <w:tab/>
        </w:r>
        <w:r w:rsidR="004962F3" w:rsidRPr="00F8348F">
          <w:rPr>
            <w:rFonts w:ascii="Times New Roman" w:hAnsi="Times New Roman" w:cs="Times New Roman"/>
            <w:sz w:val="24"/>
            <w:szCs w:val="24"/>
          </w:rPr>
          <w:fldChar w:fldCharType="begin"/>
        </w:r>
        <w:r w:rsidRPr="00F8348F">
          <w:rPr>
            <w:rFonts w:ascii="Times New Roman" w:hAnsi="Times New Roman" w:cs="Times New Roman"/>
            <w:sz w:val="24"/>
            <w:szCs w:val="24"/>
          </w:rPr>
          <w:instrText xml:space="preserve"> PAGE   \* MERGEFORMAT </w:instrText>
        </w:r>
        <w:r w:rsidR="004962F3" w:rsidRPr="00F8348F">
          <w:rPr>
            <w:rFonts w:ascii="Times New Roman" w:hAnsi="Times New Roman" w:cs="Times New Roman"/>
            <w:sz w:val="24"/>
            <w:szCs w:val="24"/>
          </w:rPr>
          <w:fldChar w:fldCharType="separate"/>
        </w:r>
        <w:r w:rsidR="00694679">
          <w:rPr>
            <w:rFonts w:ascii="Times New Roman" w:hAnsi="Times New Roman" w:cs="Times New Roman"/>
            <w:noProof/>
            <w:sz w:val="24"/>
            <w:szCs w:val="24"/>
          </w:rPr>
          <w:t>1</w:t>
        </w:r>
        <w:r w:rsidR="004962F3" w:rsidRPr="00F8348F">
          <w:rPr>
            <w:rFonts w:ascii="Times New Roman" w:hAnsi="Times New Roman" w:cs="Times New Roman"/>
            <w:sz w:val="24"/>
            <w:szCs w:val="24"/>
          </w:rPr>
          <w:fldChar w:fldCharType="end"/>
        </w:r>
      </w:p>
    </w:sdtContent>
  </w:sdt>
  <w:p w:rsidR="006F28C4" w:rsidRPr="00F8348F" w:rsidRDefault="006F28C4">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6683F"/>
    <w:rsid w:val="00031AA1"/>
    <w:rsid w:val="000354EC"/>
    <w:rsid w:val="00057958"/>
    <w:rsid w:val="000648EC"/>
    <w:rsid w:val="0006683F"/>
    <w:rsid w:val="000756FE"/>
    <w:rsid w:val="0008729D"/>
    <w:rsid w:val="000F39DA"/>
    <w:rsid w:val="0014640C"/>
    <w:rsid w:val="00151906"/>
    <w:rsid w:val="001D6366"/>
    <w:rsid w:val="001F325E"/>
    <w:rsid w:val="002050D6"/>
    <w:rsid w:val="002144FF"/>
    <w:rsid w:val="002957D6"/>
    <w:rsid w:val="00350E2C"/>
    <w:rsid w:val="00373196"/>
    <w:rsid w:val="00402432"/>
    <w:rsid w:val="004238BC"/>
    <w:rsid w:val="00427A83"/>
    <w:rsid w:val="004835FF"/>
    <w:rsid w:val="004954A5"/>
    <w:rsid w:val="00496242"/>
    <w:rsid w:val="004962F3"/>
    <w:rsid w:val="004D6CF6"/>
    <w:rsid w:val="005260EF"/>
    <w:rsid w:val="00526CB1"/>
    <w:rsid w:val="00553D7A"/>
    <w:rsid w:val="0056789F"/>
    <w:rsid w:val="00576B6C"/>
    <w:rsid w:val="005A08EC"/>
    <w:rsid w:val="005E41BD"/>
    <w:rsid w:val="005F1035"/>
    <w:rsid w:val="00684632"/>
    <w:rsid w:val="00694679"/>
    <w:rsid w:val="006B3159"/>
    <w:rsid w:val="006D1C22"/>
    <w:rsid w:val="006E729A"/>
    <w:rsid w:val="006F28C4"/>
    <w:rsid w:val="006F4229"/>
    <w:rsid w:val="006F798E"/>
    <w:rsid w:val="00717107"/>
    <w:rsid w:val="007771B6"/>
    <w:rsid w:val="00797A77"/>
    <w:rsid w:val="0080673A"/>
    <w:rsid w:val="00820273"/>
    <w:rsid w:val="008846B9"/>
    <w:rsid w:val="008D6A83"/>
    <w:rsid w:val="00927EE5"/>
    <w:rsid w:val="0096667F"/>
    <w:rsid w:val="009B5C6B"/>
    <w:rsid w:val="009C5AE7"/>
    <w:rsid w:val="00A05EFE"/>
    <w:rsid w:val="00A37607"/>
    <w:rsid w:val="00A415BC"/>
    <w:rsid w:val="00A51706"/>
    <w:rsid w:val="00AA737C"/>
    <w:rsid w:val="00AF2C37"/>
    <w:rsid w:val="00B766A1"/>
    <w:rsid w:val="00B77C0D"/>
    <w:rsid w:val="00BA5505"/>
    <w:rsid w:val="00BD3143"/>
    <w:rsid w:val="00C1550C"/>
    <w:rsid w:val="00C317BF"/>
    <w:rsid w:val="00C33996"/>
    <w:rsid w:val="00D85E8F"/>
    <w:rsid w:val="00D92181"/>
    <w:rsid w:val="00D93BF8"/>
    <w:rsid w:val="00DC60B4"/>
    <w:rsid w:val="00DD0DA4"/>
    <w:rsid w:val="00E42B3C"/>
    <w:rsid w:val="00E54423"/>
    <w:rsid w:val="00E6295C"/>
    <w:rsid w:val="00E70A28"/>
    <w:rsid w:val="00E72708"/>
    <w:rsid w:val="00E86538"/>
    <w:rsid w:val="00EF039B"/>
    <w:rsid w:val="00F35248"/>
    <w:rsid w:val="00F76ADD"/>
    <w:rsid w:val="00F8348F"/>
    <w:rsid w:val="00F93859"/>
    <w:rsid w:val="00F95B93"/>
    <w:rsid w:val="00FD18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4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6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CB1"/>
    <w:rPr>
      <w:rFonts w:ascii="Tahoma" w:hAnsi="Tahoma" w:cs="Tahoma"/>
      <w:sz w:val="16"/>
      <w:szCs w:val="16"/>
    </w:rPr>
  </w:style>
  <w:style w:type="table" w:styleId="TableGrid">
    <w:name w:val="Table Grid"/>
    <w:basedOn w:val="TableNormal"/>
    <w:uiPriority w:val="59"/>
    <w:rsid w:val="00526C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834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48F"/>
  </w:style>
  <w:style w:type="paragraph" w:styleId="Footer">
    <w:name w:val="footer"/>
    <w:basedOn w:val="Normal"/>
    <w:link w:val="FooterChar"/>
    <w:uiPriority w:val="99"/>
    <w:semiHidden/>
    <w:unhideWhenUsed/>
    <w:rsid w:val="00F8348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348F"/>
  </w:style>
  <w:style w:type="character" w:customStyle="1" w:styleId="apple-converted-space">
    <w:name w:val="apple-converted-space"/>
    <w:basedOn w:val="DefaultParagraphFont"/>
    <w:rsid w:val="00AF2C37"/>
  </w:style>
  <w:style w:type="character" w:styleId="CommentReference">
    <w:name w:val="annotation reference"/>
    <w:basedOn w:val="DefaultParagraphFont"/>
    <w:uiPriority w:val="99"/>
    <w:semiHidden/>
    <w:unhideWhenUsed/>
    <w:rsid w:val="0080673A"/>
    <w:rPr>
      <w:sz w:val="16"/>
      <w:szCs w:val="16"/>
    </w:rPr>
  </w:style>
  <w:style w:type="paragraph" w:styleId="CommentText">
    <w:name w:val="annotation text"/>
    <w:basedOn w:val="Normal"/>
    <w:link w:val="CommentTextChar"/>
    <w:uiPriority w:val="99"/>
    <w:semiHidden/>
    <w:unhideWhenUsed/>
    <w:rsid w:val="0080673A"/>
    <w:pPr>
      <w:spacing w:line="240" w:lineRule="auto"/>
    </w:pPr>
    <w:rPr>
      <w:sz w:val="20"/>
      <w:szCs w:val="20"/>
    </w:rPr>
  </w:style>
  <w:style w:type="character" w:customStyle="1" w:styleId="CommentTextChar">
    <w:name w:val="Comment Text Char"/>
    <w:basedOn w:val="DefaultParagraphFont"/>
    <w:link w:val="CommentText"/>
    <w:uiPriority w:val="99"/>
    <w:semiHidden/>
    <w:rsid w:val="0080673A"/>
    <w:rPr>
      <w:sz w:val="20"/>
      <w:szCs w:val="20"/>
    </w:rPr>
  </w:style>
  <w:style w:type="paragraph" w:styleId="CommentSubject">
    <w:name w:val="annotation subject"/>
    <w:basedOn w:val="CommentText"/>
    <w:next w:val="CommentText"/>
    <w:link w:val="CommentSubjectChar"/>
    <w:uiPriority w:val="99"/>
    <w:semiHidden/>
    <w:unhideWhenUsed/>
    <w:rsid w:val="0080673A"/>
    <w:rPr>
      <w:b/>
      <w:bCs/>
    </w:rPr>
  </w:style>
  <w:style w:type="character" w:customStyle="1" w:styleId="CommentSubjectChar">
    <w:name w:val="Comment Subject Char"/>
    <w:basedOn w:val="CommentTextChar"/>
    <w:link w:val="CommentSubject"/>
    <w:uiPriority w:val="99"/>
    <w:semiHidden/>
    <w:rsid w:val="0080673A"/>
    <w:rPr>
      <w:b/>
      <w:bCs/>
      <w:sz w:val="20"/>
      <w:szCs w:val="20"/>
    </w:rPr>
  </w:style>
  <w:style w:type="character" w:styleId="Hyperlink">
    <w:name w:val="Hyperlink"/>
    <w:basedOn w:val="DefaultParagraphFont"/>
    <w:uiPriority w:val="99"/>
    <w:unhideWhenUsed/>
    <w:rsid w:val="00D85E8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4078D-BA69-4BD0-B657-CD7EF1A8F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4711</Words>
  <Characters>26854</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Dayana Gonzalez</dc:creator>
  <cp:lastModifiedBy>Kyeni</cp:lastModifiedBy>
  <cp:revision>2</cp:revision>
  <cp:lastPrinted>2017-04-24T04:26:00Z</cp:lastPrinted>
  <dcterms:created xsi:type="dcterms:W3CDTF">2017-12-15T08:29:00Z</dcterms:created>
  <dcterms:modified xsi:type="dcterms:W3CDTF">2017-12-15T08:29:00Z</dcterms:modified>
  <dc:identifier/>
  <dc:language/>
  <cp:version/>
</cp:coreProperties>
</file>