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bookmarkStart w:id="0" w:name="_GoBack"/>
      <w:bookmarkEnd w:id="0"/>
      <w:r w:rsidRPr="004E6EDB">
        <w:rPr>
          <w:rFonts w:ascii="Times New Roman" w:eastAsia="Times New Roman" w:hAnsi="Times New Roman" w:cs="Times New Roman"/>
          <w:color w:val="000000"/>
          <w:sz w:val="24"/>
          <w:szCs w:val="24"/>
        </w:rPr>
        <w:t>CHAPTER 5</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b/>
          <w:bCs/>
          <w:color w:val="000000"/>
          <w:sz w:val="24"/>
          <w:szCs w:val="24"/>
        </w:rPr>
        <w:t>Planning an IT Infrastructure Audit for Compliance</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b/>
          <w:bCs/>
          <w:color w:val="000000"/>
          <w:sz w:val="24"/>
          <w:szCs w:val="24"/>
        </w:rPr>
        <w:t>A</w:t>
      </w:r>
      <w:r w:rsidRPr="004E6EDB">
        <w:rPr>
          <w:rFonts w:ascii="Times New Roman" w:eastAsia="Times New Roman" w:hAnsi="Times New Roman" w:cs="Times New Roman"/>
          <w:color w:val="000000"/>
          <w:sz w:val="24"/>
          <w:szCs w:val="24"/>
        </w:rPr>
        <w:t>UDIT PLANNING SHOULD NOT BE OVERLOOKED. What goes into the planning process directly affects the quality of the outcome. The planning stage is the first step and takes place before any of the detailed audit work begins. A proper plan ensures that resources are focused on the right areas and that potential problems are identified early. A successful audit first outlines what’s supposed to be achieved as well as what procedures will be followed and the required resources to carry out the procedures.</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Although each audit will vary, the plan and approach to each audit follow similar characteristics. Despite the best plans, however, circumstances do change, and plans need to be adjusted. As a result, flexibility must be considered. Significant errors, suspected fraud, and misrepresentation can all have a considerable effect upon the initial plan. Regardless, proper planning helps ensure an effective and timely audit.</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b/>
          <w:bCs/>
          <w:color w:val="000000"/>
          <w:sz w:val="24"/>
          <w:szCs w:val="24"/>
        </w:rPr>
        <w:t>Chapter 5 Topics</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This chapter covers the following topics and concepts:</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How to define the scope, objectives, goals, and frequency of an audit</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What the critical requirements for an audit are</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How to assess IT security</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How to obtain information, documentation, and resources</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How to map the security policy framework definitions to the seven domains of IT infrastructure</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How to identify and test monitoring requirements</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How to identify critical security control points that must be verified throughout the IT infrastructure</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How to build a project plan</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b/>
          <w:bCs/>
          <w:color w:val="000000"/>
          <w:sz w:val="24"/>
          <w:szCs w:val="24"/>
        </w:rPr>
        <w:t>Chapter 5 Goals</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When you complete this chapter, you will be able to:</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Define the scope and frequency of an audit</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Identify the key requirements for an audit</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lastRenderedPageBreak/>
        <w:t>•  Understand the importance of risk management in assessing security controls</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Identify the information and resources needed for an IT audit</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Relate the IT security policy framework to the seven domains of IT infrastructure</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Understand why monitoring requirements help with an IT audit</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Identify security control points</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Differentiate between the project management tasks of an IT audit</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b/>
          <w:bCs/>
          <w:color w:val="000000"/>
          <w:sz w:val="24"/>
          <w:szCs w:val="24"/>
        </w:rPr>
        <w:t>Defining the Scope, Objectives, Goals, and Frequency of an Audit</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The scope, objectives, goals, and frequency of audits are based on a risk assessment. Depending on the risk, the frequency of audits varies. Critical systems controls might need to be monitored more often than noncritical controls. In more high-risk situations, automated or continual audit tests might be considered.</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xml:space="preserve">Prior to performing an audit, the auditor should first define the </w:t>
      </w:r>
      <w:r w:rsidRPr="004E6EDB">
        <w:rPr>
          <w:rFonts w:ascii="Times New Roman" w:eastAsia="Times New Roman" w:hAnsi="Times New Roman" w:cs="Times New Roman"/>
          <w:b/>
          <w:bCs/>
          <w:color w:val="000000"/>
          <w:sz w:val="24"/>
          <w:szCs w:val="24"/>
        </w:rPr>
        <w:t>audit scope</w:t>
      </w:r>
      <w:r w:rsidRPr="004E6EDB">
        <w:rPr>
          <w:rFonts w:ascii="Times New Roman" w:eastAsia="Times New Roman" w:hAnsi="Times New Roman" w:cs="Times New Roman"/>
          <w:color w:val="000000"/>
          <w:sz w:val="24"/>
          <w:szCs w:val="24"/>
        </w:rPr>
        <w:t xml:space="preserve">. The scope includes the area or areas to be reviewed as well as the time period. Experienced auditors know it’s just as important to define what will be audited as it is to define what will not be audited. If scope is not clearly defined, </w:t>
      </w:r>
      <w:r w:rsidRPr="004E6EDB">
        <w:rPr>
          <w:rFonts w:ascii="Times New Roman" w:eastAsia="Times New Roman" w:hAnsi="Times New Roman" w:cs="Times New Roman"/>
          <w:b/>
          <w:bCs/>
          <w:color w:val="000000"/>
          <w:sz w:val="24"/>
          <w:szCs w:val="24"/>
        </w:rPr>
        <w:t>scope creep</w:t>
      </w:r>
      <w:r w:rsidRPr="004E6EDB">
        <w:rPr>
          <w:rFonts w:ascii="Times New Roman" w:eastAsia="Times New Roman" w:hAnsi="Times New Roman" w:cs="Times New Roman"/>
          <w:color w:val="000000"/>
          <w:sz w:val="24"/>
          <w:szCs w:val="24"/>
        </w:rPr>
        <w:t xml:space="preserve"> occurs, likely increasing the auditor’s workload. Scope creep is a term common to projects where the plans or goals expand beyond what was originally intended.</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xml:space="preserve">The </w:t>
      </w:r>
      <w:r w:rsidRPr="004E6EDB">
        <w:rPr>
          <w:rFonts w:ascii="Times New Roman" w:eastAsia="Times New Roman" w:hAnsi="Times New Roman" w:cs="Times New Roman"/>
          <w:b/>
          <w:bCs/>
          <w:color w:val="000000"/>
          <w:sz w:val="24"/>
          <w:szCs w:val="24"/>
        </w:rPr>
        <w:t>audit objective</w:t>
      </w:r>
      <w:r w:rsidRPr="004E6EDB">
        <w:rPr>
          <w:rFonts w:ascii="Times New Roman" w:eastAsia="Times New Roman" w:hAnsi="Times New Roman" w:cs="Times New Roman"/>
          <w:color w:val="000000"/>
          <w:sz w:val="24"/>
          <w:szCs w:val="24"/>
        </w:rPr>
        <w:t xml:space="preserve"> is the goal of the audit. Both scope and objective are closely related. For the audit to be effective, the scope must consider the objectives of the audit. Defining scope requires consideration of the personnel, systems, and records relevant to the objective. Time is another consideration dependent upon the objective. The depth and breadth of an audit usually determines the time frame required to meet the objectives.</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An external audit of financial controls, for example, will likely have a more narrow scope than an internal audit of information technology (IT) controls. When defining the scope, the auditor should consider the controls and processes across the seven domains of IT infrastructure. This includes relevant resources such as the following:</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Data</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Applications</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Technology</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Facilities</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Personnel</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lastRenderedPageBreak/>
        <w:t>It is important for auditors to ensure the scope is sufficient to achieve the stated objectives. Restrictions placed on the scope could seriously affect the ability to achieve the stated objective. Examples of restrictions that an organization may place on an auditor that could have such a negative impact include the following:</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Not providing enough resources</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Limiting the time frame</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Preventing the discovery of audit evidence</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Restricting audit procedures</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Withholding relevant historical records or information about past incidents</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b/>
          <w:bCs/>
          <w:color w:val="000000"/>
          <w:sz w:val="24"/>
          <w:szCs w:val="24"/>
        </w:rPr>
        <w:t>Project Management</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xml:space="preserve">An audit is a project. As with any project, proper planning is necessary. Auditors should be familiar with the Project Management Institute (PMI), which has created a standard named </w:t>
      </w:r>
      <w:r w:rsidRPr="004E6EDB">
        <w:rPr>
          <w:rFonts w:ascii="Times New Roman" w:eastAsia="Times New Roman" w:hAnsi="Times New Roman" w:cs="Times New Roman"/>
          <w:i/>
          <w:iCs/>
          <w:color w:val="000000"/>
          <w:sz w:val="24"/>
          <w:szCs w:val="24"/>
        </w:rPr>
        <w:t>A Guide to the Project Management Body of Knowledge (PMBOK)</w:t>
      </w:r>
      <w:r w:rsidRPr="004E6EDB">
        <w:rPr>
          <w:rFonts w:ascii="Times New Roman" w:eastAsia="Times New Roman" w:hAnsi="Times New Roman" w:cs="Times New Roman"/>
          <w:color w:val="000000"/>
          <w:sz w:val="24"/>
          <w:szCs w:val="24"/>
        </w:rPr>
        <w:t>. This guide provides a well-known and applied framework for managing successful projects.</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A project, such as an audit, has three important characteristics. First, a project is temporary. This means it has an identified start and end date. Unlike operations or a program, a project lasts for a finite time period. Second, a project is unique and produces unique results. At the end of the project, a deliverable is produced. Although projects might be similar, the process, resources, constraints, and risks, for example, will differ. Finally, a project is progressively elaborated. Because each project is unique, the process is more dynamic. Projects will occur in separate steps. As the process continues, the next phase becomes clearer.</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xml:space="preserve">Projects require someone to manage them. This position is often given the title of project manager. Large projects and even audits might have a dedicated project manager. Other times, the person managing the project might be the project expert. Project management requires the management of three competing needs to achieve the project objectives. Known as the </w:t>
      </w:r>
      <w:r w:rsidRPr="004E6EDB">
        <w:rPr>
          <w:rFonts w:ascii="Times New Roman" w:eastAsia="Times New Roman" w:hAnsi="Times New Roman" w:cs="Times New Roman"/>
          <w:i/>
          <w:iCs/>
          <w:color w:val="000000"/>
          <w:sz w:val="24"/>
          <w:szCs w:val="24"/>
        </w:rPr>
        <w:t>triple constraint</w:t>
      </w:r>
      <w:r w:rsidRPr="004E6EDB">
        <w:rPr>
          <w:rFonts w:ascii="Times New Roman" w:eastAsia="Times New Roman" w:hAnsi="Times New Roman" w:cs="Times New Roman"/>
          <w:color w:val="000000"/>
          <w:sz w:val="24"/>
          <w:szCs w:val="24"/>
        </w:rPr>
        <w:t>, these include scope, cost, and time. Consider, for example, a project with a large scope, but with little time and cost. More than likely, quality will be compromised. A project manager must be aware of all three constraints at the start of and throughout the project.</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xml:space="preserve">Planned audit activities also have a defined rate of occurrence, known as the </w:t>
      </w:r>
      <w:r w:rsidRPr="004E6EDB">
        <w:rPr>
          <w:rFonts w:ascii="Times New Roman" w:eastAsia="Times New Roman" w:hAnsi="Times New Roman" w:cs="Times New Roman"/>
          <w:b/>
          <w:bCs/>
          <w:color w:val="000000"/>
          <w:sz w:val="24"/>
          <w:szCs w:val="24"/>
        </w:rPr>
        <w:t>audit frequency</w:t>
      </w:r>
      <w:r w:rsidRPr="004E6EDB">
        <w:rPr>
          <w:rFonts w:ascii="Times New Roman" w:eastAsia="Times New Roman" w:hAnsi="Times New Roman" w:cs="Times New Roman"/>
          <w:color w:val="000000"/>
          <w:sz w:val="24"/>
          <w:szCs w:val="24"/>
        </w:rPr>
        <w:t>. There are two approaches to determine audit frequency. Audits can occur on an annual basis or every two or three years, depending on regulatory requirements and the determined risk. IT audits also are known for not following a predefined frequency, but instead using a continuous risk-assessment process. This is more appropriate given the fast-paced change in technology as well as the threats and vulnerabilities related to IT.</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b/>
          <w:bCs/>
          <w:color w:val="000000"/>
          <w:sz w:val="24"/>
          <w:szCs w:val="24"/>
        </w:rPr>
        <w:t>Identifying Critical Requirements for the Audit</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lastRenderedPageBreak/>
        <w:t>The risk assessment will influence the critical requirements for an IT audit. Overall, there are various types of IT audits. In addition to infrastructure audits for compliance, other examples include audits specific to IT processes, such as governance and software development. Another example includes integrated audits, where financial controls are the focus.</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Auditing IT infrastructure for compliance incorporates the evaluation of various types of controls. IT organizations today are concerned with controls relating to both security and privacy. Traditionally, privacy and information security activities are separate activities. The two, however, have become more interrelated, and coordination between the two has become a priority for many organizations. Two major factors contributing to this are regulatory issues and the rapid growth and widespread use of the Web. As a result, both privacy and information security are converging, specifically around compliance issues.</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Implementing Security Controls</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Before an evaluation of controls can begin, the auditor must first identify the critical controls. To do so, the auditor must consider the audit scope and objective along with the risk assessment. Documentation and any preliminary interviews also help to identify the requirements.</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xml:space="preserve">Controls can be classified into different groups to aid in understanding how they fit into the overall security of a system. </w:t>
      </w:r>
      <w:hyperlink r:id="rId4" w:anchor="fig5_1" w:history="1">
        <w:r w:rsidRPr="004E6EDB">
          <w:rPr>
            <w:rFonts w:ascii="Times New Roman" w:eastAsia="Times New Roman" w:hAnsi="Times New Roman" w:cs="Times New Roman"/>
            <w:color w:val="0000FF"/>
            <w:sz w:val="24"/>
            <w:szCs w:val="24"/>
            <w:u w:val="single"/>
          </w:rPr>
          <w:t>Figure 5-1</w:t>
        </w:r>
      </w:hyperlink>
      <w:r w:rsidRPr="004E6EDB">
        <w:rPr>
          <w:rFonts w:ascii="Times New Roman" w:eastAsia="Times New Roman" w:hAnsi="Times New Roman" w:cs="Times New Roman"/>
          <w:color w:val="000000"/>
          <w:sz w:val="24"/>
          <w:szCs w:val="24"/>
        </w:rPr>
        <w:t xml:space="preserve"> illustrates the different dimensions of control classifications. Understanding the classifications provides auditors with a foundation to identify and assess critical controls.</w:t>
      </w:r>
    </w:p>
    <w:p w:rsid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A high-level classification of controls for IT systems includes general and application controls. General controls are also known as infrastructure controls. These types of controls apply broadly to all system components across an organization. Application controls apply to individual application systems. Types of application controls include various transaction controls, such as input, processing, and output controls.</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Pr>
          <w:noProof/>
        </w:rPr>
        <w:lastRenderedPageBreak/>
        <w:drawing>
          <wp:inline distT="0" distB="0" distL="0" distR="0" wp14:anchorId="0BAA6DBD" wp14:editId="26AF6D8E">
            <wp:extent cx="5943600" cy="4171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4171950"/>
                    </a:xfrm>
                    <a:prstGeom prst="rect">
                      <a:avLst/>
                    </a:prstGeom>
                  </pic:spPr>
                </pic:pic>
              </a:graphicData>
            </a:graphic>
          </wp:inline>
        </w:drawing>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noProof/>
          <w:color w:val="000000"/>
          <w:sz w:val="24"/>
          <w:szCs w:val="24"/>
        </w:rPr>
        <mc:AlternateContent>
          <mc:Choice Requires="wps">
            <w:drawing>
              <wp:inline distT="0" distB="0" distL="0" distR="0">
                <wp:extent cx="304800" cy="304800"/>
                <wp:effectExtent l="0" t="0" r="0" b="0"/>
                <wp:docPr id="4" name="Rectangle 4"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4F3F50" id="Rectangle 4"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cY7o97wCAADF&#10;BQAADgAAAAAAAAAAAAAAAAAuAgAAZHJzL2Uyb0RvYy54bWxQSwECLQAUAAYACAAAACEATKDpLNgA&#10;AAADAQAADwAAAAAAAAAAAAAAAAAWBQAAZHJzL2Rvd25yZXYueG1sUEsFBgAAAAAEAAQA8wAAABsG&#10;AAAAAA==&#10;" filled="f" stroked="f">
                <o:lock v:ext="edit" aspectratio="t"/>
                <w10:anchorlock/>
              </v:rect>
            </w:pict>
          </mc:Fallback>
        </mc:AlternateConten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FIGURE 5-1 Control classifications.</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Three IT security controls covered by the National Institute of Standards and Technology (NIST) include management, operational, and technical controls. The following list provides a description and examples of each of these:</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Management controls—These include controls typically governed by management as part of the overall security program. Examples include the following:</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Security policy</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Security program management</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Risk management</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Security and planning in the system development life cycle</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Assurance</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lastRenderedPageBreak/>
        <w:t>•  Operational controls—These include controls that are implemented by people rather than systems. These controls are often interrelated with both management and technical controls. Examples include the following:</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Personnel and user issues</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Contingency and disaster planning</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Incident response and handling</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Awareness, training, and education</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Computer support and operations</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Physical and environmental security</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Technical controls—These include controls that are performed by the IT systems. Examples include the following:</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Identification and authorization</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Logical access control</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Audit trails</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Cryptography</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Controls are further classified as being preventive, detective, or corrective. Preventive controls stop a particular threat in the first place. A door lock on a home is a simple example of a preventive control. A detective control identifies that a threat is present. A home alarm system, for example, is a common detective control. (Some people even advertise they have an alarm system by putting a notice on the door or a sign in the yard. In this case, this also serves as a preventive control.) Finally, a reactive or corrective control can lessen the effects of a threat. A home alarm system that also notifies the police department is an example of a reactive control.</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noProof/>
          <w:color w:val="000000"/>
          <w:sz w:val="24"/>
          <w:szCs w:val="24"/>
        </w:rPr>
        <mc:AlternateContent>
          <mc:Choice Requires="wps">
            <w:drawing>
              <wp:inline distT="0" distB="0" distL="0" distR="0">
                <wp:extent cx="304800" cy="304800"/>
                <wp:effectExtent l="0" t="0" r="0" b="0"/>
                <wp:docPr id="3" name="Rectangle 3"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EABBB7" id="Rectangle 3"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SxP48LwCAADF&#10;BQAADgAAAAAAAAAAAAAAAAAuAgAAZHJzL2Uyb0RvYy54bWxQSwECLQAUAAYACAAAACEATKDpLNgA&#10;AAADAQAADwAAAAAAAAAAAAAAAAAWBQAAZHJzL2Rvd25yZXYueG1sUEsFBgAAAAAEAAQA8wAAABsG&#10;AAAAAA==&#10;" filled="f" stroked="f">
                <o:lock v:ext="edit" aspectratio="t"/>
                <w10:anchorlock/>
              </v:rect>
            </w:pict>
          </mc:Fallback>
        </mc:AlternateContent>
      </w:r>
      <w:r w:rsidRPr="004E6EDB">
        <w:rPr>
          <w:rFonts w:ascii="Times New Roman" w:eastAsia="Times New Roman" w:hAnsi="Times New Roman" w:cs="Times New Roman"/>
          <w:b/>
          <w:bCs/>
          <w:color w:val="000000"/>
          <w:sz w:val="24"/>
          <w:szCs w:val="24"/>
        </w:rPr>
        <w:t>NOTE</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Antivirus software is a common control that spans all three controls. It can prevent a system from getting a virus in the first place. It can detect if a virus is on the system. Finally, it can react and correct the situation by removing or quarantining the virus.</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Protecting Privacy Data</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xml:space="preserve">Audits of IT infrastructure relating to security are common. However, due to recent legislation regarding the need to protect personally identifiable information, audits specific to privacy are </w:t>
      </w:r>
      <w:r w:rsidRPr="004E6EDB">
        <w:rPr>
          <w:rFonts w:ascii="Times New Roman" w:eastAsia="Times New Roman" w:hAnsi="Times New Roman" w:cs="Times New Roman"/>
          <w:color w:val="000000"/>
          <w:sz w:val="24"/>
          <w:szCs w:val="24"/>
        </w:rPr>
        <w:lastRenderedPageBreak/>
        <w:t>more commonplace than before. ISACA defines privacy within the context of information systems as “adherence to trust and obligation in relation to any information relating to an identified or identifiable individual (data subject). Management is responsible to comply with privacy in accordance with its privacy policy or applicable privacy laws and regulations.”</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Privacy audits go beyond traditional IT audits in that the entire information lifecycle process needs to be considered. This includes not just the controls relating to how it was gathered and secured, but also how it is collected, used, and retained. Specifically, privacy audits address the following three concerns:</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What type of personal information is processed and stored?</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Where is it stored?</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How is it managed?</w:t>
      </w:r>
    </w:p>
    <w:p w:rsidR="004E6EDB" w:rsidRPr="004E6EDB" w:rsidRDefault="00BC15B7" w:rsidP="004E6EDB">
      <w:pPr>
        <w:spacing w:before="100" w:beforeAutospacing="1" w:after="100" w:afterAutospacing="1" w:line="240" w:lineRule="auto"/>
        <w:rPr>
          <w:rFonts w:ascii="Times New Roman" w:eastAsia="Times New Roman" w:hAnsi="Times New Roman" w:cs="Times New Roman"/>
          <w:color w:val="000000"/>
          <w:sz w:val="24"/>
          <w:szCs w:val="24"/>
        </w:rPr>
      </w:pPr>
      <w:hyperlink r:id="rId6" w:anchor="tab5_1" w:history="1">
        <w:r w:rsidR="004E6EDB" w:rsidRPr="004E6EDB">
          <w:rPr>
            <w:rFonts w:ascii="Times New Roman" w:eastAsia="Times New Roman" w:hAnsi="Times New Roman" w:cs="Times New Roman"/>
            <w:color w:val="0000FF"/>
            <w:sz w:val="24"/>
            <w:szCs w:val="24"/>
            <w:u w:val="single"/>
          </w:rPr>
          <w:t>Table 5-1</w:t>
        </w:r>
      </w:hyperlink>
      <w:r w:rsidR="004E6EDB" w:rsidRPr="004E6EDB">
        <w:rPr>
          <w:rFonts w:ascii="Times New Roman" w:eastAsia="Times New Roman" w:hAnsi="Times New Roman" w:cs="Times New Roman"/>
          <w:color w:val="000000"/>
          <w:sz w:val="24"/>
          <w:szCs w:val="24"/>
        </w:rPr>
        <w:t xml:space="preserve"> outlines guidance for privacy audits established by the American Institute of Certified Public Accountants (AICPA) and the Canadian Institute of Chartered Accountants (CICA). This guidance is named </w:t>
      </w:r>
      <w:r w:rsidR="004E6EDB" w:rsidRPr="004E6EDB">
        <w:rPr>
          <w:rFonts w:ascii="Times New Roman" w:eastAsia="Times New Roman" w:hAnsi="Times New Roman" w:cs="Times New Roman"/>
          <w:b/>
          <w:bCs/>
          <w:color w:val="000000"/>
          <w:sz w:val="24"/>
          <w:szCs w:val="24"/>
        </w:rPr>
        <w:t>Generally Accepted Privacy Principles (GAPP)</w:t>
      </w:r>
      <w:r w:rsidR="004E6EDB" w:rsidRPr="004E6EDB">
        <w:rPr>
          <w:rFonts w:ascii="Times New Roman" w:eastAsia="Times New Roman" w:hAnsi="Times New Roman" w:cs="Times New Roman"/>
          <w:color w:val="000000"/>
          <w:sz w:val="24"/>
          <w:szCs w:val="24"/>
        </w:rPr>
        <w:t>.</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xml:space="preserve">A privacy audit should consider what privacy laws apply to the organization. Auditors should consider who has responsibility for privacy within the organization. This includes the roles of legal counsel and whether a </w:t>
      </w:r>
      <w:r w:rsidRPr="004E6EDB">
        <w:rPr>
          <w:rFonts w:ascii="Times New Roman" w:eastAsia="Times New Roman" w:hAnsi="Times New Roman" w:cs="Times New Roman"/>
          <w:b/>
          <w:bCs/>
          <w:color w:val="000000"/>
          <w:sz w:val="24"/>
          <w:szCs w:val="24"/>
        </w:rPr>
        <w:t>chief privacy officer (CPO)</w:t>
      </w:r>
      <w:r w:rsidRPr="004E6EDB">
        <w:rPr>
          <w:rFonts w:ascii="Times New Roman" w:eastAsia="Times New Roman" w:hAnsi="Times New Roman" w:cs="Times New Roman"/>
          <w:color w:val="000000"/>
          <w:sz w:val="24"/>
          <w:szCs w:val="24"/>
        </w:rPr>
        <w:t xml:space="preserve"> role is established. (The CPO is a senior-level position responsible for the overall management of an organization’s privacy program.) Finally, the policies and procedures specific to privacy should be examined.</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TABLE 5-1 The Generally Accepted Privacy Principles.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760"/>
        <w:gridCol w:w="7600"/>
      </w:tblGrid>
      <w:tr w:rsidR="004E6EDB" w:rsidRPr="004E6EDB" w:rsidTr="004E6EDB">
        <w:trPr>
          <w:tblCellSpacing w:w="15" w:type="dxa"/>
        </w:trPr>
        <w:tc>
          <w:tcPr>
            <w:tcW w:w="0" w:type="auto"/>
            <w:vAlign w:val="center"/>
            <w:hideMark/>
          </w:tcPr>
          <w:p w:rsidR="004E6EDB" w:rsidRPr="004E6EDB" w:rsidRDefault="004E6EDB" w:rsidP="004E6EDB">
            <w:pPr>
              <w:spacing w:before="100" w:beforeAutospacing="1" w:after="100" w:afterAutospacing="1" w:line="240" w:lineRule="auto"/>
              <w:rPr>
                <w:rFonts w:ascii="Times New Roman" w:eastAsia="Times New Roman" w:hAnsi="Times New Roman" w:cs="Times New Roman"/>
                <w:sz w:val="24"/>
                <w:szCs w:val="24"/>
              </w:rPr>
            </w:pPr>
            <w:r w:rsidRPr="004E6EDB">
              <w:rPr>
                <w:rFonts w:ascii="Times New Roman" w:eastAsia="Times New Roman" w:hAnsi="Times New Roman" w:cs="Times New Roman"/>
                <w:b/>
                <w:bCs/>
                <w:sz w:val="24"/>
                <w:szCs w:val="24"/>
              </w:rPr>
              <w:t>PRINCIPLE</w:t>
            </w:r>
          </w:p>
        </w:tc>
        <w:tc>
          <w:tcPr>
            <w:tcW w:w="0" w:type="auto"/>
            <w:vAlign w:val="center"/>
            <w:hideMark/>
          </w:tcPr>
          <w:p w:rsidR="004E6EDB" w:rsidRPr="004E6EDB" w:rsidRDefault="004E6EDB" w:rsidP="004E6EDB">
            <w:pPr>
              <w:spacing w:before="100" w:beforeAutospacing="1" w:after="100" w:afterAutospacing="1" w:line="240" w:lineRule="auto"/>
              <w:rPr>
                <w:rFonts w:ascii="Times New Roman" w:eastAsia="Times New Roman" w:hAnsi="Times New Roman" w:cs="Times New Roman"/>
                <w:sz w:val="24"/>
                <w:szCs w:val="24"/>
              </w:rPr>
            </w:pPr>
            <w:r w:rsidRPr="004E6EDB">
              <w:rPr>
                <w:rFonts w:ascii="Times New Roman" w:eastAsia="Times New Roman" w:hAnsi="Times New Roman" w:cs="Times New Roman"/>
                <w:b/>
                <w:bCs/>
                <w:sz w:val="24"/>
                <w:szCs w:val="24"/>
              </w:rPr>
              <w:t>DESCRIPTION</w:t>
            </w:r>
          </w:p>
        </w:tc>
      </w:tr>
      <w:tr w:rsidR="004E6EDB" w:rsidRPr="004E6EDB" w:rsidTr="004E6EDB">
        <w:trPr>
          <w:tblCellSpacing w:w="15" w:type="dxa"/>
        </w:trPr>
        <w:tc>
          <w:tcPr>
            <w:tcW w:w="0" w:type="auto"/>
            <w:vAlign w:val="center"/>
            <w:hideMark/>
          </w:tcPr>
          <w:p w:rsidR="004E6EDB" w:rsidRPr="004E6EDB" w:rsidRDefault="004E6EDB" w:rsidP="004E6EDB">
            <w:pPr>
              <w:spacing w:before="100" w:beforeAutospacing="1" w:after="100" w:afterAutospacing="1" w:line="240" w:lineRule="auto"/>
              <w:rPr>
                <w:rFonts w:ascii="Times New Roman" w:eastAsia="Times New Roman" w:hAnsi="Times New Roman" w:cs="Times New Roman"/>
                <w:sz w:val="24"/>
                <w:szCs w:val="24"/>
              </w:rPr>
            </w:pPr>
            <w:r w:rsidRPr="004E6EDB">
              <w:rPr>
                <w:rFonts w:ascii="Times New Roman" w:eastAsia="Times New Roman" w:hAnsi="Times New Roman" w:cs="Times New Roman"/>
                <w:sz w:val="24"/>
                <w:szCs w:val="24"/>
              </w:rPr>
              <w:t>Management</w:t>
            </w:r>
          </w:p>
        </w:tc>
        <w:tc>
          <w:tcPr>
            <w:tcW w:w="0" w:type="auto"/>
            <w:vAlign w:val="center"/>
            <w:hideMark/>
          </w:tcPr>
          <w:p w:rsidR="004E6EDB" w:rsidRPr="004E6EDB" w:rsidRDefault="004E6EDB" w:rsidP="004E6EDB">
            <w:pPr>
              <w:spacing w:before="100" w:beforeAutospacing="1" w:after="100" w:afterAutospacing="1" w:line="240" w:lineRule="auto"/>
              <w:rPr>
                <w:rFonts w:ascii="Times New Roman" w:eastAsia="Times New Roman" w:hAnsi="Times New Roman" w:cs="Times New Roman"/>
                <w:sz w:val="24"/>
                <w:szCs w:val="24"/>
              </w:rPr>
            </w:pPr>
            <w:r w:rsidRPr="004E6EDB">
              <w:rPr>
                <w:rFonts w:ascii="Times New Roman" w:eastAsia="Times New Roman" w:hAnsi="Times New Roman" w:cs="Times New Roman"/>
                <w:sz w:val="24"/>
                <w:szCs w:val="24"/>
              </w:rPr>
              <w:t>The entity defines, documents, communicates, and assigns accountability for its privacy policies and procedures.</w:t>
            </w:r>
          </w:p>
        </w:tc>
      </w:tr>
      <w:tr w:rsidR="004E6EDB" w:rsidRPr="004E6EDB" w:rsidTr="004E6EDB">
        <w:trPr>
          <w:tblCellSpacing w:w="15" w:type="dxa"/>
        </w:trPr>
        <w:tc>
          <w:tcPr>
            <w:tcW w:w="0" w:type="auto"/>
            <w:vAlign w:val="center"/>
            <w:hideMark/>
          </w:tcPr>
          <w:p w:rsidR="004E6EDB" w:rsidRPr="004E6EDB" w:rsidRDefault="004E6EDB" w:rsidP="004E6EDB">
            <w:pPr>
              <w:spacing w:before="100" w:beforeAutospacing="1" w:after="100" w:afterAutospacing="1" w:line="240" w:lineRule="auto"/>
              <w:rPr>
                <w:rFonts w:ascii="Times New Roman" w:eastAsia="Times New Roman" w:hAnsi="Times New Roman" w:cs="Times New Roman"/>
                <w:sz w:val="24"/>
                <w:szCs w:val="24"/>
              </w:rPr>
            </w:pPr>
            <w:r w:rsidRPr="004E6EDB">
              <w:rPr>
                <w:rFonts w:ascii="Times New Roman" w:eastAsia="Times New Roman" w:hAnsi="Times New Roman" w:cs="Times New Roman"/>
                <w:sz w:val="24"/>
                <w:szCs w:val="24"/>
              </w:rPr>
              <w:t>Notice</w:t>
            </w:r>
          </w:p>
        </w:tc>
        <w:tc>
          <w:tcPr>
            <w:tcW w:w="0" w:type="auto"/>
            <w:vAlign w:val="center"/>
            <w:hideMark/>
          </w:tcPr>
          <w:p w:rsidR="004E6EDB" w:rsidRPr="004E6EDB" w:rsidRDefault="004E6EDB" w:rsidP="004E6EDB">
            <w:pPr>
              <w:spacing w:before="100" w:beforeAutospacing="1" w:after="100" w:afterAutospacing="1" w:line="240" w:lineRule="auto"/>
              <w:rPr>
                <w:rFonts w:ascii="Times New Roman" w:eastAsia="Times New Roman" w:hAnsi="Times New Roman" w:cs="Times New Roman"/>
                <w:sz w:val="24"/>
                <w:szCs w:val="24"/>
              </w:rPr>
            </w:pPr>
            <w:r w:rsidRPr="004E6EDB">
              <w:rPr>
                <w:rFonts w:ascii="Times New Roman" w:eastAsia="Times New Roman" w:hAnsi="Times New Roman" w:cs="Times New Roman"/>
                <w:sz w:val="24"/>
                <w:szCs w:val="24"/>
              </w:rPr>
              <w:t>The entity provides notice about its privacy policies and procedures and identifies the purposes for which personal information is collected, used, retained, and disclosed.</w:t>
            </w:r>
          </w:p>
        </w:tc>
      </w:tr>
      <w:tr w:rsidR="004E6EDB" w:rsidRPr="004E6EDB" w:rsidTr="004E6EDB">
        <w:trPr>
          <w:tblCellSpacing w:w="15" w:type="dxa"/>
        </w:trPr>
        <w:tc>
          <w:tcPr>
            <w:tcW w:w="0" w:type="auto"/>
            <w:vAlign w:val="center"/>
            <w:hideMark/>
          </w:tcPr>
          <w:p w:rsidR="004E6EDB" w:rsidRPr="004E6EDB" w:rsidRDefault="004E6EDB" w:rsidP="004E6EDB">
            <w:pPr>
              <w:spacing w:before="100" w:beforeAutospacing="1" w:after="100" w:afterAutospacing="1" w:line="240" w:lineRule="auto"/>
              <w:rPr>
                <w:rFonts w:ascii="Times New Roman" w:eastAsia="Times New Roman" w:hAnsi="Times New Roman" w:cs="Times New Roman"/>
                <w:sz w:val="24"/>
                <w:szCs w:val="24"/>
              </w:rPr>
            </w:pPr>
            <w:r w:rsidRPr="004E6EDB">
              <w:rPr>
                <w:rFonts w:ascii="Times New Roman" w:eastAsia="Times New Roman" w:hAnsi="Times New Roman" w:cs="Times New Roman"/>
                <w:sz w:val="24"/>
                <w:szCs w:val="24"/>
              </w:rPr>
              <w:t>Choice of consent</w:t>
            </w:r>
          </w:p>
        </w:tc>
        <w:tc>
          <w:tcPr>
            <w:tcW w:w="0" w:type="auto"/>
            <w:vAlign w:val="center"/>
            <w:hideMark/>
          </w:tcPr>
          <w:p w:rsidR="004E6EDB" w:rsidRPr="004E6EDB" w:rsidRDefault="004E6EDB" w:rsidP="004E6EDB">
            <w:pPr>
              <w:spacing w:before="100" w:beforeAutospacing="1" w:after="100" w:afterAutospacing="1" w:line="240" w:lineRule="auto"/>
              <w:rPr>
                <w:rFonts w:ascii="Times New Roman" w:eastAsia="Times New Roman" w:hAnsi="Times New Roman" w:cs="Times New Roman"/>
                <w:sz w:val="24"/>
                <w:szCs w:val="24"/>
              </w:rPr>
            </w:pPr>
            <w:r w:rsidRPr="004E6EDB">
              <w:rPr>
                <w:rFonts w:ascii="Times New Roman" w:eastAsia="Times New Roman" w:hAnsi="Times New Roman" w:cs="Times New Roman"/>
                <w:sz w:val="24"/>
                <w:szCs w:val="24"/>
              </w:rPr>
              <w:t>The entity describes the choices available to the individual and obtains implicit or explicit consent with respect to the collection, use, and disclosure of personal information.</w:t>
            </w:r>
          </w:p>
        </w:tc>
      </w:tr>
      <w:tr w:rsidR="004E6EDB" w:rsidRPr="004E6EDB" w:rsidTr="004E6EDB">
        <w:trPr>
          <w:tblCellSpacing w:w="15" w:type="dxa"/>
        </w:trPr>
        <w:tc>
          <w:tcPr>
            <w:tcW w:w="0" w:type="auto"/>
            <w:vAlign w:val="center"/>
            <w:hideMark/>
          </w:tcPr>
          <w:p w:rsidR="004E6EDB" w:rsidRPr="004E6EDB" w:rsidRDefault="004E6EDB" w:rsidP="004E6EDB">
            <w:pPr>
              <w:spacing w:before="100" w:beforeAutospacing="1" w:after="100" w:afterAutospacing="1" w:line="240" w:lineRule="auto"/>
              <w:rPr>
                <w:rFonts w:ascii="Times New Roman" w:eastAsia="Times New Roman" w:hAnsi="Times New Roman" w:cs="Times New Roman"/>
                <w:sz w:val="24"/>
                <w:szCs w:val="24"/>
              </w:rPr>
            </w:pPr>
            <w:r w:rsidRPr="004E6EDB">
              <w:rPr>
                <w:rFonts w:ascii="Times New Roman" w:eastAsia="Times New Roman" w:hAnsi="Times New Roman" w:cs="Times New Roman"/>
                <w:sz w:val="24"/>
                <w:szCs w:val="24"/>
              </w:rPr>
              <w:t>Collection</w:t>
            </w:r>
          </w:p>
        </w:tc>
        <w:tc>
          <w:tcPr>
            <w:tcW w:w="0" w:type="auto"/>
            <w:vAlign w:val="center"/>
            <w:hideMark/>
          </w:tcPr>
          <w:p w:rsidR="004E6EDB" w:rsidRPr="004E6EDB" w:rsidRDefault="004E6EDB" w:rsidP="004E6EDB">
            <w:pPr>
              <w:spacing w:before="100" w:beforeAutospacing="1" w:after="100" w:afterAutospacing="1" w:line="240" w:lineRule="auto"/>
              <w:rPr>
                <w:rFonts w:ascii="Times New Roman" w:eastAsia="Times New Roman" w:hAnsi="Times New Roman" w:cs="Times New Roman"/>
                <w:sz w:val="24"/>
                <w:szCs w:val="24"/>
              </w:rPr>
            </w:pPr>
            <w:r w:rsidRPr="004E6EDB">
              <w:rPr>
                <w:rFonts w:ascii="Times New Roman" w:eastAsia="Times New Roman" w:hAnsi="Times New Roman" w:cs="Times New Roman"/>
                <w:sz w:val="24"/>
                <w:szCs w:val="24"/>
              </w:rPr>
              <w:t>The entity collects personal information only for the purposes identified in the notice.</w:t>
            </w:r>
          </w:p>
        </w:tc>
      </w:tr>
      <w:tr w:rsidR="004E6EDB" w:rsidRPr="004E6EDB" w:rsidTr="004E6EDB">
        <w:trPr>
          <w:tblCellSpacing w:w="15" w:type="dxa"/>
        </w:trPr>
        <w:tc>
          <w:tcPr>
            <w:tcW w:w="0" w:type="auto"/>
            <w:vAlign w:val="center"/>
            <w:hideMark/>
          </w:tcPr>
          <w:p w:rsidR="004E6EDB" w:rsidRPr="004E6EDB" w:rsidRDefault="004E6EDB" w:rsidP="004E6EDB">
            <w:pPr>
              <w:spacing w:before="100" w:beforeAutospacing="1" w:after="100" w:afterAutospacing="1" w:line="240" w:lineRule="auto"/>
              <w:rPr>
                <w:rFonts w:ascii="Times New Roman" w:eastAsia="Times New Roman" w:hAnsi="Times New Roman" w:cs="Times New Roman"/>
                <w:sz w:val="24"/>
                <w:szCs w:val="24"/>
              </w:rPr>
            </w:pPr>
            <w:r w:rsidRPr="004E6EDB">
              <w:rPr>
                <w:rFonts w:ascii="Times New Roman" w:eastAsia="Times New Roman" w:hAnsi="Times New Roman" w:cs="Times New Roman"/>
                <w:sz w:val="24"/>
                <w:szCs w:val="24"/>
              </w:rPr>
              <w:t>Use and retention</w:t>
            </w:r>
          </w:p>
        </w:tc>
        <w:tc>
          <w:tcPr>
            <w:tcW w:w="0" w:type="auto"/>
            <w:vAlign w:val="center"/>
            <w:hideMark/>
          </w:tcPr>
          <w:p w:rsidR="004E6EDB" w:rsidRPr="004E6EDB" w:rsidRDefault="004E6EDB" w:rsidP="004E6EDB">
            <w:pPr>
              <w:spacing w:before="100" w:beforeAutospacing="1" w:after="100" w:afterAutospacing="1" w:line="240" w:lineRule="auto"/>
              <w:rPr>
                <w:rFonts w:ascii="Times New Roman" w:eastAsia="Times New Roman" w:hAnsi="Times New Roman" w:cs="Times New Roman"/>
                <w:sz w:val="24"/>
                <w:szCs w:val="24"/>
              </w:rPr>
            </w:pPr>
            <w:r w:rsidRPr="004E6EDB">
              <w:rPr>
                <w:rFonts w:ascii="Times New Roman" w:eastAsia="Times New Roman" w:hAnsi="Times New Roman" w:cs="Times New Roman"/>
                <w:sz w:val="24"/>
                <w:szCs w:val="24"/>
              </w:rPr>
              <w:t>The entity limits the use of personal information to the purposes identified in the notice and for which the individual has provided implicit or explicit consent. The entity retains personal information for only as long as is necessary to fulfill the stated purposes.</w:t>
            </w:r>
          </w:p>
        </w:tc>
      </w:tr>
      <w:tr w:rsidR="004E6EDB" w:rsidRPr="004E6EDB" w:rsidTr="004E6EDB">
        <w:trPr>
          <w:tblCellSpacing w:w="15" w:type="dxa"/>
        </w:trPr>
        <w:tc>
          <w:tcPr>
            <w:tcW w:w="0" w:type="auto"/>
            <w:vAlign w:val="center"/>
            <w:hideMark/>
          </w:tcPr>
          <w:p w:rsidR="004E6EDB" w:rsidRPr="004E6EDB" w:rsidRDefault="004E6EDB" w:rsidP="004E6EDB">
            <w:pPr>
              <w:spacing w:before="100" w:beforeAutospacing="1" w:after="100" w:afterAutospacing="1" w:line="240" w:lineRule="auto"/>
              <w:rPr>
                <w:rFonts w:ascii="Times New Roman" w:eastAsia="Times New Roman" w:hAnsi="Times New Roman" w:cs="Times New Roman"/>
                <w:sz w:val="24"/>
                <w:szCs w:val="24"/>
              </w:rPr>
            </w:pPr>
            <w:r w:rsidRPr="004E6EDB">
              <w:rPr>
                <w:rFonts w:ascii="Times New Roman" w:eastAsia="Times New Roman" w:hAnsi="Times New Roman" w:cs="Times New Roman"/>
                <w:sz w:val="24"/>
                <w:szCs w:val="24"/>
              </w:rPr>
              <w:t>Access</w:t>
            </w:r>
          </w:p>
        </w:tc>
        <w:tc>
          <w:tcPr>
            <w:tcW w:w="0" w:type="auto"/>
            <w:vAlign w:val="center"/>
            <w:hideMark/>
          </w:tcPr>
          <w:p w:rsidR="004E6EDB" w:rsidRPr="004E6EDB" w:rsidRDefault="004E6EDB" w:rsidP="004E6EDB">
            <w:pPr>
              <w:spacing w:before="100" w:beforeAutospacing="1" w:after="100" w:afterAutospacing="1" w:line="240" w:lineRule="auto"/>
              <w:rPr>
                <w:rFonts w:ascii="Times New Roman" w:eastAsia="Times New Roman" w:hAnsi="Times New Roman" w:cs="Times New Roman"/>
                <w:sz w:val="24"/>
                <w:szCs w:val="24"/>
              </w:rPr>
            </w:pPr>
            <w:r w:rsidRPr="004E6EDB">
              <w:rPr>
                <w:rFonts w:ascii="Times New Roman" w:eastAsia="Times New Roman" w:hAnsi="Times New Roman" w:cs="Times New Roman"/>
                <w:sz w:val="24"/>
                <w:szCs w:val="24"/>
              </w:rPr>
              <w:t>The entity provides individuals with access to their personal information for review and update.</w:t>
            </w:r>
          </w:p>
        </w:tc>
      </w:tr>
      <w:tr w:rsidR="004E6EDB" w:rsidRPr="004E6EDB" w:rsidTr="004E6EDB">
        <w:trPr>
          <w:tblCellSpacing w:w="15" w:type="dxa"/>
        </w:trPr>
        <w:tc>
          <w:tcPr>
            <w:tcW w:w="0" w:type="auto"/>
            <w:vAlign w:val="center"/>
            <w:hideMark/>
          </w:tcPr>
          <w:p w:rsidR="004E6EDB" w:rsidRPr="004E6EDB" w:rsidRDefault="004E6EDB" w:rsidP="004E6EDB">
            <w:pPr>
              <w:spacing w:before="100" w:beforeAutospacing="1" w:after="100" w:afterAutospacing="1" w:line="240" w:lineRule="auto"/>
              <w:rPr>
                <w:rFonts w:ascii="Times New Roman" w:eastAsia="Times New Roman" w:hAnsi="Times New Roman" w:cs="Times New Roman"/>
                <w:sz w:val="24"/>
                <w:szCs w:val="24"/>
              </w:rPr>
            </w:pPr>
            <w:r w:rsidRPr="004E6EDB">
              <w:rPr>
                <w:rFonts w:ascii="Times New Roman" w:eastAsia="Times New Roman" w:hAnsi="Times New Roman" w:cs="Times New Roman"/>
                <w:sz w:val="24"/>
                <w:szCs w:val="24"/>
              </w:rPr>
              <w:lastRenderedPageBreak/>
              <w:t>Disclosure to third parties</w:t>
            </w:r>
          </w:p>
        </w:tc>
        <w:tc>
          <w:tcPr>
            <w:tcW w:w="0" w:type="auto"/>
            <w:vAlign w:val="center"/>
            <w:hideMark/>
          </w:tcPr>
          <w:p w:rsidR="004E6EDB" w:rsidRPr="004E6EDB" w:rsidRDefault="004E6EDB" w:rsidP="004E6EDB">
            <w:pPr>
              <w:spacing w:before="100" w:beforeAutospacing="1" w:after="100" w:afterAutospacing="1" w:line="240" w:lineRule="auto"/>
              <w:rPr>
                <w:rFonts w:ascii="Times New Roman" w:eastAsia="Times New Roman" w:hAnsi="Times New Roman" w:cs="Times New Roman"/>
                <w:sz w:val="24"/>
                <w:szCs w:val="24"/>
              </w:rPr>
            </w:pPr>
            <w:r w:rsidRPr="004E6EDB">
              <w:rPr>
                <w:rFonts w:ascii="Times New Roman" w:eastAsia="Times New Roman" w:hAnsi="Times New Roman" w:cs="Times New Roman"/>
                <w:sz w:val="24"/>
                <w:szCs w:val="24"/>
              </w:rPr>
              <w:t>The entity discloses personal information to third parties only for the purposes identified in the notice and with the implicit or explicit consent of the individual.</w:t>
            </w:r>
          </w:p>
        </w:tc>
      </w:tr>
      <w:tr w:rsidR="004E6EDB" w:rsidRPr="004E6EDB" w:rsidTr="004E6EDB">
        <w:trPr>
          <w:tblCellSpacing w:w="15" w:type="dxa"/>
        </w:trPr>
        <w:tc>
          <w:tcPr>
            <w:tcW w:w="0" w:type="auto"/>
            <w:vAlign w:val="center"/>
            <w:hideMark/>
          </w:tcPr>
          <w:p w:rsidR="004E6EDB" w:rsidRPr="004E6EDB" w:rsidRDefault="004E6EDB" w:rsidP="004E6EDB">
            <w:pPr>
              <w:spacing w:before="100" w:beforeAutospacing="1" w:after="100" w:afterAutospacing="1" w:line="240" w:lineRule="auto"/>
              <w:rPr>
                <w:rFonts w:ascii="Times New Roman" w:eastAsia="Times New Roman" w:hAnsi="Times New Roman" w:cs="Times New Roman"/>
                <w:sz w:val="24"/>
                <w:szCs w:val="24"/>
              </w:rPr>
            </w:pPr>
            <w:r w:rsidRPr="004E6EDB">
              <w:rPr>
                <w:rFonts w:ascii="Times New Roman" w:eastAsia="Times New Roman" w:hAnsi="Times New Roman" w:cs="Times New Roman"/>
                <w:sz w:val="24"/>
                <w:szCs w:val="24"/>
              </w:rPr>
              <w:t>Security for privacy</w:t>
            </w:r>
          </w:p>
        </w:tc>
        <w:tc>
          <w:tcPr>
            <w:tcW w:w="0" w:type="auto"/>
            <w:vAlign w:val="center"/>
            <w:hideMark/>
          </w:tcPr>
          <w:p w:rsidR="004E6EDB" w:rsidRPr="004E6EDB" w:rsidRDefault="004E6EDB" w:rsidP="004E6EDB">
            <w:pPr>
              <w:spacing w:before="100" w:beforeAutospacing="1" w:after="100" w:afterAutospacing="1" w:line="240" w:lineRule="auto"/>
              <w:rPr>
                <w:rFonts w:ascii="Times New Roman" w:eastAsia="Times New Roman" w:hAnsi="Times New Roman" w:cs="Times New Roman"/>
                <w:sz w:val="24"/>
                <w:szCs w:val="24"/>
              </w:rPr>
            </w:pPr>
            <w:r w:rsidRPr="004E6EDB">
              <w:rPr>
                <w:rFonts w:ascii="Times New Roman" w:eastAsia="Times New Roman" w:hAnsi="Times New Roman" w:cs="Times New Roman"/>
                <w:sz w:val="24"/>
                <w:szCs w:val="24"/>
              </w:rPr>
              <w:t>The entity protects personal information against unauthorized access.</w:t>
            </w:r>
          </w:p>
        </w:tc>
      </w:tr>
      <w:tr w:rsidR="004E6EDB" w:rsidRPr="004E6EDB" w:rsidTr="004E6EDB">
        <w:trPr>
          <w:tblCellSpacing w:w="15" w:type="dxa"/>
        </w:trPr>
        <w:tc>
          <w:tcPr>
            <w:tcW w:w="0" w:type="auto"/>
            <w:vAlign w:val="center"/>
            <w:hideMark/>
          </w:tcPr>
          <w:p w:rsidR="004E6EDB" w:rsidRPr="004E6EDB" w:rsidRDefault="004E6EDB" w:rsidP="004E6EDB">
            <w:pPr>
              <w:spacing w:before="100" w:beforeAutospacing="1" w:after="100" w:afterAutospacing="1" w:line="240" w:lineRule="auto"/>
              <w:rPr>
                <w:rFonts w:ascii="Times New Roman" w:eastAsia="Times New Roman" w:hAnsi="Times New Roman" w:cs="Times New Roman"/>
                <w:sz w:val="24"/>
                <w:szCs w:val="24"/>
              </w:rPr>
            </w:pPr>
            <w:r w:rsidRPr="004E6EDB">
              <w:rPr>
                <w:rFonts w:ascii="Times New Roman" w:eastAsia="Times New Roman" w:hAnsi="Times New Roman" w:cs="Times New Roman"/>
                <w:sz w:val="24"/>
                <w:szCs w:val="24"/>
              </w:rPr>
              <w:t>Quality</w:t>
            </w:r>
          </w:p>
        </w:tc>
        <w:tc>
          <w:tcPr>
            <w:tcW w:w="0" w:type="auto"/>
            <w:vAlign w:val="center"/>
            <w:hideMark/>
          </w:tcPr>
          <w:p w:rsidR="004E6EDB" w:rsidRPr="004E6EDB" w:rsidRDefault="004E6EDB" w:rsidP="004E6EDB">
            <w:pPr>
              <w:spacing w:before="100" w:beforeAutospacing="1" w:after="100" w:afterAutospacing="1" w:line="240" w:lineRule="auto"/>
              <w:rPr>
                <w:rFonts w:ascii="Times New Roman" w:eastAsia="Times New Roman" w:hAnsi="Times New Roman" w:cs="Times New Roman"/>
                <w:sz w:val="24"/>
                <w:szCs w:val="24"/>
              </w:rPr>
            </w:pPr>
            <w:r w:rsidRPr="004E6EDB">
              <w:rPr>
                <w:rFonts w:ascii="Times New Roman" w:eastAsia="Times New Roman" w:hAnsi="Times New Roman" w:cs="Times New Roman"/>
                <w:sz w:val="24"/>
                <w:szCs w:val="24"/>
              </w:rPr>
              <w:t>The entity maintains accurate, complete, and relevant personal information for the purposes identified in the notice.</w:t>
            </w:r>
          </w:p>
        </w:tc>
      </w:tr>
      <w:tr w:rsidR="004E6EDB" w:rsidRPr="004E6EDB" w:rsidTr="004E6EDB">
        <w:trPr>
          <w:tblCellSpacing w:w="15" w:type="dxa"/>
        </w:trPr>
        <w:tc>
          <w:tcPr>
            <w:tcW w:w="0" w:type="auto"/>
            <w:vAlign w:val="center"/>
            <w:hideMark/>
          </w:tcPr>
          <w:p w:rsidR="004E6EDB" w:rsidRPr="004E6EDB" w:rsidRDefault="004E6EDB" w:rsidP="004E6EDB">
            <w:pPr>
              <w:spacing w:before="100" w:beforeAutospacing="1" w:after="100" w:afterAutospacing="1" w:line="240" w:lineRule="auto"/>
              <w:rPr>
                <w:rFonts w:ascii="Times New Roman" w:eastAsia="Times New Roman" w:hAnsi="Times New Roman" w:cs="Times New Roman"/>
                <w:sz w:val="24"/>
                <w:szCs w:val="24"/>
              </w:rPr>
            </w:pPr>
            <w:r w:rsidRPr="004E6EDB">
              <w:rPr>
                <w:rFonts w:ascii="Times New Roman" w:eastAsia="Times New Roman" w:hAnsi="Times New Roman" w:cs="Times New Roman"/>
                <w:sz w:val="24"/>
                <w:szCs w:val="24"/>
              </w:rPr>
              <w:t>Monitoring and enforcement</w:t>
            </w:r>
          </w:p>
        </w:tc>
        <w:tc>
          <w:tcPr>
            <w:tcW w:w="0" w:type="auto"/>
            <w:vAlign w:val="center"/>
            <w:hideMark/>
          </w:tcPr>
          <w:p w:rsidR="004E6EDB" w:rsidRPr="004E6EDB" w:rsidRDefault="004E6EDB" w:rsidP="004E6EDB">
            <w:pPr>
              <w:spacing w:before="100" w:beforeAutospacing="1" w:after="100" w:afterAutospacing="1" w:line="240" w:lineRule="auto"/>
              <w:rPr>
                <w:rFonts w:ascii="Times New Roman" w:eastAsia="Times New Roman" w:hAnsi="Times New Roman" w:cs="Times New Roman"/>
                <w:sz w:val="24"/>
                <w:szCs w:val="24"/>
              </w:rPr>
            </w:pPr>
            <w:r w:rsidRPr="004E6EDB">
              <w:rPr>
                <w:rFonts w:ascii="Times New Roman" w:eastAsia="Times New Roman" w:hAnsi="Times New Roman" w:cs="Times New Roman"/>
                <w:sz w:val="24"/>
                <w:szCs w:val="24"/>
              </w:rPr>
              <w:t>The entity monitors compliance with its privacy policies and procedures and has procedures to address privacy-related complaints and disputes.</w:t>
            </w:r>
          </w:p>
        </w:tc>
      </w:tr>
    </w:tbl>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b/>
          <w:bCs/>
          <w:color w:val="000000"/>
          <w:sz w:val="24"/>
          <w:szCs w:val="24"/>
        </w:rPr>
        <w:t>Assessing IT Security</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Examining IT security is a key component of auditing IT infrastructure for compliance. An audit can help identify fraud, ineffective IT practices, improper use of resources, and inadequate security. Assessing IT security is largely about ensuring that adequate controls are in place. Controls cost money, however. The selection and implementation of controls must be a result of a consideration of risk.</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xml:space="preserve">Suppose you want to build a fence to protect a cow. Building the fence will cost money. Exactly how much money it will cost might depend upon the quality and size of the fence. How much might you be willing to spend? Of course, you should first understand why you want to protect the cow. How valuable is this cow to you? What are you protecting the cow from? Let’s assume the cow has some type of value to you—otherwise, there would be little reason to spend money on protecting the cow. Is a fence the only solution? Could you tie the cow to a tree instead? If you decide to build the fence, is it strong enough? Is it high enough? Now suppose you decide to have the security of your fence assessed. What you </w:t>
      </w:r>
      <w:r w:rsidRPr="004E6EDB">
        <w:rPr>
          <w:rFonts w:ascii="Times New Roman" w:eastAsia="Times New Roman" w:hAnsi="Times New Roman" w:cs="Times New Roman"/>
          <w:i/>
          <w:iCs/>
          <w:color w:val="000000"/>
          <w:sz w:val="24"/>
          <w:szCs w:val="24"/>
        </w:rPr>
        <w:t>don’t</w:t>
      </w:r>
      <w:r w:rsidRPr="004E6EDB">
        <w:rPr>
          <w:rFonts w:ascii="Times New Roman" w:eastAsia="Times New Roman" w:hAnsi="Times New Roman" w:cs="Times New Roman"/>
          <w:color w:val="000000"/>
          <w:sz w:val="24"/>
          <w:szCs w:val="24"/>
        </w:rPr>
        <w:t xml:space="preserve"> need is for the auditor to come by and tell you what you already know—that you have a fence in place. Rather, what would be useful is a determination of the lack of controls, the ineffectiveness of controls, or even the use of unnecessary controls. If your cow turns out to be a bull, for example, perhaps that fence won’t be so effective. Is the fence effective against someone determined to steal the cow? To understand these issues, consider the following:</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Is a control even required?</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How much effort or money should be spent on a control?</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Is the control effective?</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Understanding the answers to these questions requires thought about risk. This is why risk management needs to be a key part of organizations and any audit.</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Risk Management</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xml:space="preserve">Managing and understanding risk is a key operating component of any organization. Risk is about uncertainty. Yet, there will always be uncertainties across organizations. Uncertainty </w:t>
      </w:r>
      <w:r w:rsidRPr="004E6EDB">
        <w:rPr>
          <w:rFonts w:ascii="Times New Roman" w:eastAsia="Times New Roman" w:hAnsi="Times New Roman" w:cs="Times New Roman"/>
          <w:color w:val="000000"/>
          <w:sz w:val="24"/>
          <w:szCs w:val="24"/>
        </w:rPr>
        <w:lastRenderedPageBreak/>
        <w:t xml:space="preserve">presents both challenges and opportunities for companies. Risk management provides a method for dealing with the uncertainty. This includes identifying which ones to accept and which ones to control. The Committee of Sponsoring Organizations (COSO) of the Treadway Commission, which provides a framework for </w:t>
      </w:r>
      <w:r w:rsidRPr="004E6EDB">
        <w:rPr>
          <w:rFonts w:ascii="Times New Roman" w:eastAsia="Times New Roman" w:hAnsi="Times New Roman" w:cs="Times New Roman"/>
          <w:b/>
          <w:bCs/>
          <w:color w:val="000000"/>
          <w:sz w:val="24"/>
          <w:szCs w:val="24"/>
        </w:rPr>
        <w:t>enterprise risk management (ERM)</w:t>
      </w:r>
      <w:r w:rsidRPr="004E6EDB">
        <w:rPr>
          <w:rFonts w:ascii="Times New Roman" w:eastAsia="Times New Roman" w:hAnsi="Times New Roman" w:cs="Times New Roman"/>
          <w:color w:val="000000"/>
          <w:sz w:val="24"/>
          <w:szCs w:val="24"/>
        </w:rPr>
        <w:t>, identifies the following key components of ERM:</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Aligning risk appetite and strategy—This helps the organization to manage the uncertainty with consideration of the goals of the organization.</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Enhancing risk response decisions—This improves the organization’s ability to make decisions about how to better manage risk.</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Reducing operational surprises and losses—This enhances the organization’s ability to identify potential events or threats and react appropriately.</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Identifying and managing multiple and cross-enterprise risks—This helps the organization to consider related risks from across the organization and provides a unified response across the varying risks.</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Seizing opportunities—This helps the organization to recognize events from which new opportunities can be pursued.</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Improving deployment of capital—This improves how organizations divide their financial resources to enhance performance and profitability.</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xml:space="preserve">An example of an IT risk framework compatible with ERM is ISACA’s Risk IT. The Risk IT framework is completely covered with the Control Objectives for Information and Related Technology (COBIT) framework. Risk IT provides a comprehensive framework not just for assessing risk, but also for governance and response. Combined with Risk IT and another framework, Val IT, COBIT 5 provides a framework of controls to minimize as well as manage risk. Another example of an information security risk management framework is ISO standard </w:t>
      </w:r>
      <w:r w:rsidRPr="004E6EDB">
        <w:rPr>
          <w:rFonts w:ascii="Times New Roman" w:eastAsia="Times New Roman" w:hAnsi="Times New Roman" w:cs="Times New Roman"/>
          <w:b/>
          <w:bCs/>
          <w:color w:val="000000"/>
          <w:sz w:val="24"/>
          <w:szCs w:val="24"/>
        </w:rPr>
        <w:t>ISO/IEC 27005</w:t>
      </w:r>
      <w:r w:rsidRPr="004E6EDB">
        <w:rPr>
          <w:rFonts w:ascii="Times New Roman" w:eastAsia="Times New Roman" w:hAnsi="Times New Roman" w:cs="Times New Roman"/>
          <w:color w:val="000000"/>
          <w:sz w:val="24"/>
          <w:szCs w:val="24"/>
        </w:rPr>
        <w:t>. In addition to providing guidelines for information security risk management, this ISO standard also supports the concepts within ISO/IEC 27001.</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The key component of risk management includes a risk assessment. Planning an audit of IT infrastructure depends on this assessment. The audit plan should be prepared only after a risk assessment is complete. The key reason for this is that the audit will focus on those areas with the highest risk.</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xml:space="preserve">There are several methodologies for assessing risk specific to IT environments. </w:t>
      </w:r>
      <w:r w:rsidRPr="004E6EDB">
        <w:rPr>
          <w:rFonts w:ascii="Times New Roman" w:eastAsia="Times New Roman" w:hAnsi="Times New Roman" w:cs="Times New Roman"/>
          <w:b/>
          <w:bCs/>
          <w:color w:val="000000"/>
          <w:sz w:val="24"/>
          <w:szCs w:val="24"/>
        </w:rPr>
        <w:t>NIST 800-30</w:t>
      </w:r>
      <w:r w:rsidRPr="004E6EDB">
        <w:rPr>
          <w:rFonts w:ascii="Times New Roman" w:eastAsia="Times New Roman" w:hAnsi="Times New Roman" w:cs="Times New Roman"/>
          <w:color w:val="000000"/>
          <w:sz w:val="24"/>
          <w:szCs w:val="24"/>
        </w:rPr>
        <w:t>, “Risk Management Guide for Information Technology Systems,” is one such example. This guide provides a practical nine-step process, as follows:</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System characterization—Identify and understand the systems and their operating environment.</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lastRenderedPageBreak/>
        <w:t>•  Threat identification—Identify potential methods or situations that could exploit a weakness.</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Vulnerability identification—Identify flaws or weaknesses that can be triggered or exploited, which might result in a breach.</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Control analysis—Analyze controls to reduce the likelihood of a threat successfully exploiting a vulnerability.</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Likelihood determination—Determine the likelihood of an attack by considering the motivation and capability of the threat source along with the nature of the vulnerability in relation to the current controls.</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Impact analysis—Determine the impact of a successful attack on a vulnerability by a threat. Consider the mission of a system, data criticality, and data sensitivity.</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Risk determination—Consider the likelihood, magnitude of impact, and adequacy of controls as an equation of risk.</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Control recommendations—Consider controls to reduce the level of risk to an acceptable level.</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Results documentation—Document for management the observations on threats and vulnerabilities as well as risks overall and recommended controls.</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xml:space="preserve">Evaluating risk requires looking at the different parts of the risk equation. Effective risk management starts with identifying the IT assets and their value. Next, organizations need to identify the threats and vulnerabilities to these assets. A </w:t>
      </w:r>
      <w:r w:rsidRPr="004E6EDB">
        <w:rPr>
          <w:rFonts w:ascii="Times New Roman" w:eastAsia="Times New Roman" w:hAnsi="Times New Roman" w:cs="Times New Roman"/>
          <w:b/>
          <w:bCs/>
          <w:color w:val="000000"/>
          <w:sz w:val="24"/>
          <w:szCs w:val="24"/>
        </w:rPr>
        <w:t>threat</w:t>
      </w:r>
      <w:r w:rsidRPr="004E6EDB">
        <w:rPr>
          <w:rFonts w:ascii="Times New Roman" w:eastAsia="Times New Roman" w:hAnsi="Times New Roman" w:cs="Times New Roman"/>
          <w:color w:val="000000"/>
          <w:sz w:val="24"/>
          <w:szCs w:val="24"/>
        </w:rPr>
        <w:t xml:space="preserve"> is any activity that represents a possible danger. A </w:t>
      </w:r>
      <w:r w:rsidRPr="004E6EDB">
        <w:rPr>
          <w:rFonts w:ascii="Times New Roman" w:eastAsia="Times New Roman" w:hAnsi="Times New Roman" w:cs="Times New Roman"/>
          <w:b/>
          <w:bCs/>
          <w:color w:val="000000"/>
          <w:sz w:val="24"/>
          <w:szCs w:val="24"/>
        </w:rPr>
        <w:t>vulnerability</w:t>
      </w:r>
      <w:r w:rsidRPr="004E6EDB">
        <w:rPr>
          <w:rFonts w:ascii="Times New Roman" w:eastAsia="Times New Roman" w:hAnsi="Times New Roman" w:cs="Times New Roman"/>
          <w:color w:val="000000"/>
          <w:sz w:val="24"/>
          <w:szCs w:val="24"/>
        </w:rPr>
        <w:t xml:space="preserve"> is a weakness. An analysis or assessment of both threats and vulnerabilities is a key part of the risk-management process. Next, organizations need to identify the likelihood each threat will exploit a vulnerability. Finally, organizations need to consider the impact of the risk. Risks should then be prioritized. This enables organizations to give attention to the most severe. Different methodologies are available, which provide clear frameworks for evaluating risk.</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noProof/>
          <w:color w:val="000000"/>
          <w:sz w:val="24"/>
          <w:szCs w:val="24"/>
        </w:rPr>
        <mc:AlternateContent>
          <mc:Choice Requires="wps">
            <w:drawing>
              <wp:inline distT="0" distB="0" distL="0" distR="0">
                <wp:extent cx="304800" cy="304800"/>
                <wp:effectExtent l="0" t="0" r="0" b="0"/>
                <wp:docPr id="2" name="Rectangle 2"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C4A55E" id="Rectangle 2"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2E/OPrwCAADF&#10;BQAADgAAAAAAAAAAAAAAAAAuAgAAZHJzL2Uyb0RvYy54bWxQSwECLQAUAAYACAAAACEATKDpLNgA&#10;AAADAQAADwAAAAAAAAAAAAAAAAAWBQAAZHJzL2Rvd25yZXYueG1sUEsFBgAAAAAEAAQA8wAAABsG&#10;AAAAAA==&#10;" filled="f" stroked="f">
                <o:lock v:ext="edit" aspectratio="t"/>
                <w10:anchorlock/>
              </v:rect>
            </w:pict>
          </mc:Fallback>
        </mc:AlternateContent>
      </w:r>
      <w:r w:rsidRPr="004E6EDB">
        <w:rPr>
          <w:rFonts w:ascii="Times New Roman" w:eastAsia="Times New Roman" w:hAnsi="Times New Roman" w:cs="Times New Roman"/>
          <w:b/>
          <w:bCs/>
          <w:color w:val="000000"/>
          <w:sz w:val="24"/>
          <w:szCs w:val="24"/>
        </w:rPr>
        <w:t>NOTE</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Threats don’t pertain to all organizations equally. This is part of what makes threat identification a difficult task. A simple example is the threat of a hurricane. Although a hurricane is a threat that can cause a loss, you wouldn’t consider a hurricane a threat to a data center based in Iowa, for example.</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Threat Analysis</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xml:space="preserve">Part of the risk-assessment process requires an examination of those activities that represent danger. Threats to IT are numerous and can affect the loss of confidentiality, integrity, and </w:t>
      </w:r>
      <w:r w:rsidRPr="004E6EDB">
        <w:rPr>
          <w:rFonts w:ascii="Times New Roman" w:eastAsia="Times New Roman" w:hAnsi="Times New Roman" w:cs="Times New Roman"/>
          <w:color w:val="000000"/>
          <w:sz w:val="24"/>
          <w:szCs w:val="24"/>
        </w:rPr>
        <w:lastRenderedPageBreak/>
        <w:t xml:space="preserve">availability in a number of ways. Analyzing the potential threats requires the identification of all possible threats first. This is called </w:t>
      </w:r>
      <w:r w:rsidRPr="004E6EDB">
        <w:rPr>
          <w:rFonts w:ascii="Times New Roman" w:eastAsia="Times New Roman" w:hAnsi="Times New Roman" w:cs="Times New Roman"/>
          <w:b/>
          <w:bCs/>
          <w:color w:val="000000"/>
          <w:sz w:val="24"/>
          <w:szCs w:val="24"/>
        </w:rPr>
        <w:t>threat identification</w:t>
      </w:r>
      <w:r w:rsidRPr="004E6EDB">
        <w:rPr>
          <w:rFonts w:ascii="Times New Roman" w:eastAsia="Times New Roman" w:hAnsi="Times New Roman" w:cs="Times New Roman"/>
          <w:color w:val="000000"/>
          <w:sz w:val="24"/>
          <w:szCs w:val="24"/>
        </w:rPr>
        <w:t>.</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Threats can be grouped as a combination of the following:</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Adversarial</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Accidental</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Structural</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Environmental</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xml:space="preserve">Information about threats such as natural disasters is readily available and easily obtained through private and governmental resources. The threats that are more difficult to identify are those that pertain specifically to the organization. </w:t>
      </w:r>
      <w:hyperlink r:id="rId7" w:anchor="tab5_2" w:history="1">
        <w:r w:rsidRPr="004E6EDB">
          <w:rPr>
            <w:rFonts w:ascii="Times New Roman" w:eastAsia="Times New Roman" w:hAnsi="Times New Roman" w:cs="Times New Roman"/>
            <w:color w:val="0000FF"/>
            <w:sz w:val="24"/>
            <w:szCs w:val="24"/>
            <w:u w:val="single"/>
          </w:rPr>
          <w:t>Table 5-2</w:t>
        </w:r>
      </w:hyperlink>
      <w:r w:rsidRPr="004E6EDB">
        <w:rPr>
          <w:rFonts w:ascii="Times New Roman" w:eastAsia="Times New Roman" w:hAnsi="Times New Roman" w:cs="Times New Roman"/>
          <w:color w:val="000000"/>
          <w:sz w:val="24"/>
          <w:szCs w:val="24"/>
        </w:rPr>
        <w:t xml:space="preserve"> provides examples of various adversarial threat sources. The table includes a list of threats, motivations, and methods that might be used to carry out an attack. The methods are also known as </w:t>
      </w:r>
      <w:r w:rsidRPr="004E6EDB">
        <w:rPr>
          <w:rFonts w:ascii="Times New Roman" w:eastAsia="Times New Roman" w:hAnsi="Times New Roman" w:cs="Times New Roman"/>
          <w:b/>
          <w:bCs/>
          <w:color w:val="000000"/>
          <w:sz w:val="24"/>
          <w:szCs w:val="24"/>
        </w:rPr>
        <w:t>threat actions</w:t>
      </w:r>
      <w:r w:rsidRPr="004E6EDB">
        <w:rPr>
          <w:rFonts w:ascii="Times New Roman" w:eastAsia="Times New Roman" w:hAnsi="Times New Roman" w:cs="Times New Roman"/>
          <w:color w:val="000000"/>
          <w:sz w:val="24"/>
          <w:szCs w:val="24"/>
        </w:rPr>
        <w:t>.</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xml:space="preserve">All the threats in </w:t>
      </w:r>
      <w:hyperlink r:id="rId8" w:anchor="tab5_2" w:history="1">
        <w:r w:rsidRPr="004E6EDB">
          <w:rPr>
            <w:rFonts w:ascii="Times New Roman" w:eastAsia="Times New Roman" w:hAnsi="Times New Roman" w:cs="Times New Roman"/>
            <w:color w:val="0000FF"/>
            <w:sz w:val="24"/>
            <w:szCs w:val="24"/>
            <w:u w:val="single"/>
          </w:rPr>
          <w:t>Table 5-2</w:t>
        </w:r>
      </w:hyperlink>
      <w:r w:rsidRPr="004E6EDB">
        <w:rPr>
          <w:rFonts w:ascii="Times New Roman" w:eastAsia="Times New Roman" w:hAnsi="Times New Roman" w:cs="Times New Roman"/>
          <w:color w:val="000000"/>
          <w:sz w:val="24"/>
          <w:szCs w:val="24"/>
        </w:rPr>
        <w:t xml:space="preserve"> represent varying degrees of potential risks if they are accompanied by vulnerabilities. Each organization will identify its unique threats. Even businesses with multiple locations will have threats specific to that location. To really understand threats, think about your own personal situation. What threats are common to you and where you live? Do these threats change as you travel? What threats exist based on your lifestyle and goals?</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You need to consider likelihood when examining threats. Using the example of a hurricane earlier in this section, it is safe to say that the threat of a hurricane affecting the state of Iowa does not exist. The threat of a tornado, however, does exist. As a result, organizations should develop a threat classification mechanism. A simple example may include a classification of low, medium, and high:</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Low—No previous history of the threat, and the threat is not likely to occur</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Medium—Some history of the threat, and the threat might occur</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High—Substantial history of the threat, and the threat is likely to occur</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TABLE 5-2 Examples of threats, motivations, and threat actions.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60"/>
        <w:gridCol w:w="3110"/>
        <w:gridCol w:w="4190"/>
      </w:tblGrid>
      <w:tr w:rsidR="004E6EDB" w:rsidRPr="004E6EDB" w:rsidTr="004E6EDB">
        <w:trPr>
          <w:tblCellSpacing w:w="15" w:type="dxa"/>
        </w:trPr>
        <w:tc>
          <w:tcPr>
            <w:tcW w:w="0" w:type="auto"/>
            <w:vAlign w:val="center"/>
            <w:hideMark/>
          </w:tcPr>
          <w:p w:rsidR="004E6EDB" w:rsidRPr="004E6EDB" w:rsidRDefault="004E6EDB" w:rsidP="004E6EDB">
            <w:pPr>
              <w:spacing w:before="100" w:beforeAutospacing="1" w:after="100" w:afterAutospacing="1" w:line="240" w:lineRule="auto"/>
              <w:rPr>
                <w:rFonts w:ascii="Times New Roman" w:eastAsia="Times New Roman" w:hAnsi="Times New Roman" w:cs="Times New Roman"/>
                <w:sz w:val="24"/>
                <w:szCs w:val="24"/>
              </w:rPr>
            </w:pPr>
            <w:r w:rsidRPr="004E6EDB">
              <w:rPr>
                <w:rFonts w:ascii="Times New Roman" w:eastAsia="Times New Roman" w:hAnsi="Times New Roman" w:cs="Times New Roman"/>
                <w:b/>
                <w:bCs/>
                <w:sz w:val="24"/>
                <w:szCs w:val="24"/>
              </w:rPr>
              <w:t>THREAT</w:t>
            </w:r>
          </w:p>
        </w:tc>
        <w:tc>
          <w:tcPr>
            <w:tcW w:w="0" w:type="auto"/>
            <w:vAlign w:val="center"/>
            <w:hideMark/>
          </w:tcPr>
          <w:p w:rsidR="004E6EDB" w:rsidRPr="004E6EDB" w:rsidRDefault="004E6EDB" w:rsidP="004E6EDB">
            <w:pPr>
              <w:spacing w:before="100" w:beforeAutospacing="1" w:after="100" w:afterAutospacing="1" w:line="240" w:lineRule="auto"/>
              <w:rPr>
                <w:rFonts w:ascii="Times New Roman" w:eastAsia="Times New Roman" w:hAnsi="Times New Roman" w:cs="Times New Roman"/>
                <w:sz w:val="24"/>
                <w:szCs w:val="24"/>
              </w:rPr>
            </w:pPr>
            <w:r w:rsidRPr="004E6EDB">
              <w:rPr>
                <w:rFonts w:ascii="Times New Roman" w:eastAsia="Times New Roman" w:hAnsi="Times New Roman" w:cs="Times New Roman"/>
                <w:b/>
                <w:bCs/>
                <w:sz w:val="24"/>
                <w:szCs w:val="24"/>
              </w:rPr>
              <w:t>MOTIVATION</w:t>
            </w:r>
          </w:p>
        </w:tc>
        <w:tc>
          <w:tcPr>
            <w:tcW w:w="0" w:type="auto"/>
            <w:vAlign w:val="center"/>
            <w:hideMark/>
          </w:tcPr>
          <w:p w:rsidR="004E6EDB" w:rsidRPr="004E6EDB" w:rsidRDefault="004E6EDB" w:rsidP="004E6EDB">
            <w:pPr>
              <w:spacing w:before="100" w:beforeAutospacing="1" w:after="100" w:afterAutospacing="1" w:line="240" w:lineRule="auto"/>
              <w:rPr>
                <w:rFonts w:ascii="Times New Roman" w:eastAsia="Times New Roman" w:hAnsi="Times New Roman" w:cs="Times New Roman"/>
                <w:sz w:val="24"/>
                <w:szCs w:val="24"/>
              </w:rPr>
            </w:pPr>
            <w:r w:rsidRPr="004E6EDB">
              <w:rPr>
                <w:rFonts w:ascii="Times New Roman" w:eastAsia="Times New Roman" w:hAnsi="Times New Roman" w:cs="Times New Roman"/>
                <w:b/>
                <w:bCs/>
                <w:sz w:val="24"/>
                <w:szCs w:val="24"/>
              </w:rPr>
              <w:t>THREAT ACTION</w:t>
            </w:r>
          </w:p>
        </w:tc>
      </w:tr>
      <w:tr w:rsidR="004E6EDB" w:rsidRPr="004E6EDB" w:rsidTr="004E6EDB">
        <w:trPr>
          <w:tblCellSpacing w:w="15" w:type="dxa"/>
        </w:trPr>
        <w:tc>
          <w:tcPr>
            <w:tcW w:w="0" w:type="auto"/>
            <w:vAlign w:val="center"/>
            <w:hideMark/>
          </w:tcPr>
          <w:p w:rsidR="004E6EDB" w:rsidRPr="004E6EDB" w:rsidRDefault="004E6EDB" w:rsidP="004E6EDB">
            <w:pPr>
              <w:spacing w:before="100" w:beforeAutospacing="1" w:after="100" w:afterAutospacing="1" w:line="240" w:lineRule="auto"/>
              <w:rPr>
                <w:rFonts w:ascii="Times New Roman" w:eastAsia="Times New Roman" w:hAnsi="Times New Roman" w:cs="Times New Roman"/>
                <w:sz w:val="24"/>
                <w:szCs w:val="24"/>
              </w:rPr>
            </w:pPr>
            <w:r w:rsidRPr="004E6EDB">
              <w:rPr>
                <w:rFonts w:ascii="Times New Roman" w:eastAsia="Times New Roman" w:hAnsi="Times New Roman" w:cs="Times New Roman"/>
                <w:sz w:val="24"/>
                <w:szCs w:val="24"/>
              </w:rPr>
              <w:t>Cracker Criminal</w:t>
            </w:r>
          </w:p>
        </w:tc>
        <w:tc>
          <w:tcPr>
            <w:tcW w:w="0" w:type="auto"/>
            <w:vAlign w:val="center"/>
            <w:hideMark/>
          </w:tcPr>
          <w:p w:rsidR="004E6EDB" w:rsidRPr="004E6EDB" w:rsidRDefault="004E6EDB" w:rsidP="004E6EDB">
            <w:pPr>
              <w:spacing w:before="100" w:beforeAutospacing="1" w:after="100" w:afterAutospacing="1" w:line="240" w:lineRule="auto"/>
              <w:rPr>
                <w:rFonts w:ascii="Times New Roman" w:eastAsia="Times New Roman" w:hAnsi="Times New Roman" w:cs="Times New Roman"/>
                <w:sz w:val="24"/>
                <w:szCs w:val="24"/>
              </w:rPr>
            </w:pPr>
            <w:r w:rsidRPr="004E6EDB">
              <w:rPr>
                <w:rFonts w:ascii="Times New Roman" w:eastAsia="Times New Roman" w:hAnsi="Times New Roman" w:cs="Times New Roman"/>
                <w:sz w:val="24"/>
                <w:szCs w:val="24"/>
              </w:rPr>
              <w:t>Challenge Ego</w:t>
            </w:r>
          </w:p>
        </w:tc>
        <w:tc>
          <w:tcPr>
            <w:tcW w:w="0" w:type="auto"/>
            <w:vAlign w:val="center"/>
            <w:hideMark/>
          </w:tcPr>
          <w:p w:rsidR="004E6EDB" w:rsidRPr="004E6EDB" w:rsidRDefault="004E6EDB" w:rsidP="004E6EDB">
            <w:pPr>
              <w:spacing w:before="100" w:beforeAutospacing="1" w:after="100" w:afterAutospacing="1" w:line="240" w:lineRule="auto"/>
              <w:rPr>
                <w:rFonts w:ascii="Times New Roman" w:eastAsia="Times New Roman" w:hAnsi="Times New Roman" w:cs="Times New Roman"/>
                <w:sz w:val="24"/>
                <w:szCs w:val="24"/>
              </w:rPr>
            </w:pPr>
            <w:r w:rsidRPr="004E6EDB">
              <w:rPr>
                <w:rFonts w:ascii="Times New Roman" w:eastAsia="Times New Roman" w:hAnsi="Times New Roman" w:cs="Times New Roman"/>
                <w:sz w:val="24"/>
                <w:szCs w:val="24"/>
              </w:rPr>
              <w:t>Social engineering System intrusion</w:t>
            </w:r>
          </w:p>
        </w:tc>
      </w:tr>
      <w:tr w:rsidR="004E6EDB" w:rsidRPr="004E6EDB" w:rsidTr="004E6EDB">
        <w:trPr>
          <w:tblCellSpacing w:w="15" w:type="dxa"/>
        </w:trPr>
        <w:tc>
          <w:tcPr>
            <w:tcW w:w="0" w:type="auto"/>
            <w:vAlign w:val="center"/>
            <w:hideMark/>
          </w:tcPr>
          <w:p w:rsidR="004E6EDB" w:rsidRPr="004E6EDB" w:rsidRDefault="004E6EDB" w:rsidP="004E6EDB">
            <w:pPr>
              <w:spacing w:after="0" w:line="240" w:lineRule="auto"/>
              <w:rPr>
                <w:rFonts w:ascii="Times New Roman" w:eastAsia="Times New Roman" w:hAnsi="Times New Roman" w:cs="Times New Roman"/>
                <w:sz w:val="24"/>
                <w:szCs w:val="24"/>
              </w:rPr>
            </w:pPr>
          </w:p>
        </w:tc>
        <w:tc>
          <w:tcPr>
            <w:tcW w:w="0" w:type="auto"/>
            <w:vAlign w:val="center"/>
            <w:hideMark/>
          </w:tcPr>
          <w:p w:rsidR="004E6EDB" w:rsidRPr="004E6EDB" w:rsidRDefault="004E6EDB" w:rsidP="004E6EDB">
            <w:pPr>
              <w:spacing w:before="100" w:beforeAutospacing="1" w:after="100" w:afterAutospacing="1" w:line="240" w:lineRule="auto"/>
              <w:rPr>
                <w:rFonts w:ascii="Times New Roman" w:eastAsia="Times New Roman" w:hAnsi="Times New Roman" w:cs="Times New Roman"/>
                <w:sz w:val="24"/>
                <w:szCs w:val="24"/>
              </w:rPr>
            </w:pPr>
            <w:r w:rsidRPr="004E6EDB">
              <w:rPr>
                <w:rFonts w:ascii="Times New Roman" w:eastAsia="Times New Roman" w:hAnsi="Times New Roman" w:cs="Times New Roman"/>
                <w:sz w:val="24"/>
                <w:szCs w:val="24"/>
              </w:rPr>
              <w:t>Monetary gain</w:t>
            </w:r>
            <w:r w:rsidRPr="004E6EDB">
              <w:rPr>
                <w:rFonts w:ascii="Times New Roman" w:eastAsia="Times New Roman" w:hAnsi="Times New Roman" w:cs="Times New Roman"/>
                <w:sz w:val="24"/>
                <w:szCs w:val="24"/>
              </w:rPr>
              <w:br/>
              <w:t>Destruction of information</w:t>
            </w:r>
          </w:p>
        </w:tc>
        <w:tc>
          <w:tcPr>
            <w:tcW w:w="0" w:type="auto"/>
            <w:vAlign w:val="center"/>
            <w:hideMark/>
          </w:tcPr>
          <w:p w:rsidR="004E6EDB" w:rsidRPr="004E6EDB" w:rsidRDefault="004E6EDB" w:rsidP="004E6EDB">
            <w:pPr>
              <w:spacing w:before="100" w:beforeAutospacing="1" w:after="100" w:afterAutospacing="1" w:line="240" w:lineRule="auto"/>
              <w:rPr>
                <w:rFonts w:ascii="Times New Roman" w:eastAsia="Times New Roman" w:hAnsi="Times New Roman" w:cs="Times New Roman"/>
                <w:sz w:val="24"/>
                <w:szCs w:val="24"/>
              </w:rPr>
            </w:pPr>
            <w:r w:rsidRPr="004E6EDB">
              <w:rPr>
                <w:rFonts w:ascii="Times New Roman" w:eastAsia="Times New Roman" w:hAnsi="Times New Roman" w:cs="Times New Roman"/>
                <w:sz w:val="24"/>
                <w:szCs w:val="24"/>
              </w:rPr>
              <w:t>Computer crime</w:t>
            </w:r>
            <w:r w:rsidRPr="004E6EDB">
              <w:rPr>
                <w:rFonts w:ascii="Times New Roman" w:eastAsia="Times New Roman" w:hAnsi="Times New Roman" w:cs="Times New Roman"/>
                <w:sz w:val="24"/>
                <w:szCs w:val="24"/>
              </w:rPr>
              <w:br/>
              <w:t>Fraudulent act</w:t>
            </w:r>
            <w:r w:rsidRPr="004E6EDB">
              <w:rPr>
                <w:rFonts w:ascii="Times New Roman" w:eastAsia="Times New Roman" w:hAnsi="Times New Roman" w:cs="Times New Roman"/>
                <w:sz w:val="24"/>
                <w:szCs w:val="24"/>
              </w:rPr>
              <w:br/>
              <w:t>Information bribery</w:t>
            </w:r>
          </w:p>
        </w:tc>
      </w:tr>
      <w:tr w:rsidR="004E6EDB" w:rsidRPr="004E6EDB" w:rsidTr="004E6EDB">
        <w:trPr>
          <w:tblCellSpacing w:w="15" w:type="dxa"/>
        </w:trPr>
        <w:tc>
          <w:tcPr>
            <w:tcW w:w="0" w:type="auto"/>
            <w:vAlign w:val="center"/>
            <w:hideMark/>
          </w:tcPr>
          <w:p w:rsidR="004E6EDB" w:rsidRPr="004E6EDB" w:rsidRDefault="004E6EDB" w:rsidP="004E6EDB">
            <w:pPr>
              <w:spacing w:before="100" w:beforeAutospacing="1" w:after="100" w:afterAutospacing="1" w:line="240" w:lineRule="auto"/>
              <w:rPr>
                <w:rFonts w:ascii="Times New Roman" w:eastAsia="Times New Roman" w:hAnsi="Times New Roman" w:cs="Times New Roman"/>
                <w:sz w:val="24"/>
                <w:szCs w:val="24"/>
              </w:rPr>
            </w:pPr>
            <w:r w:rsidRPr="004E6EDB">
              <w:rPr>
                <w:rFonts w:ascii="Times New Roman" w:eastAsia="Times New Roman" w:hAnsi="Times New Roman" w:cs="Times New Roman"/>
                <w:sz w:val="24"/>
                <w:szCs w:val="24"/>
              </w:rPr>
              <w:lastRenderedPageBreak/>
              <w:t>Terrorist</w:t>
            </w:r>
          </w:p>
        </w:tc>
        <w:tc>
          <w:tcPr>
            <w:tcW w:w="0" w:type="auto"/>
            <w:vAlign w:val="center"/>
            <w:hideMark/>
          </w:tcPr>
          <w:p w:rsidR="004E6EDB" w:rsidRPr="004E6EDB" w:rsidRDefault="004E6EDB" w:rsidP="004E6EDB">
            <w:pPr>
              <w:spacing w:before="100" w:beforeAutospacing="1" w:after="100" w:afterAutospacing="1" w:line="240" w:lineRule="auto"/>
              <w:rPr>
                <w:rFonts w:ascii="Times New Roman" w:eastAsia="Times New Roman" w:hAnsi="Times New Roman" w:cs="Times New Roman"/>
                <w:sz w:val="24"/>
                <w:szCs w:val="24"/>
              </w:rPr>
            </w:pPr>
            <w:r w:rsidRPr="004E6EDB">
              <w:rPr>
                <w:rFonts w:ascii="Times New Roman" w:eastAsia="Times New Roman" w:hAnsi="Times New Roman" w:cs="Times New Roman"/>
                <w:sz w:val="24"/>
                <w:szCs w:val="24"/>
              </w:rPr>
              <w:t>Destruction</w:t>
            </w:r>
            <w:r w:rsidRPr="004E6EDB">
              <w:rPr>
                <w:rFonts w:ascii="Times New Roman" w:eastAsia="Times New Roman" w:hAnsi="Times New Roman" w:cs="Times New Roman"/>
                <w:sz w:val="24"/>
                <w:szCs w:val="24"/>
              </w:rPr>
              <w:br/>
              <w:t>Exploitation</w:t>
            </w:r>
            <w:r w:rsidRPr="004E6EDB">
              <w:rPr>
                <w:rFonts w:ascii="Times New Roman" w:eastAsia="Times New Roman" w:hAnsi="Times New Roman" w:cs="Times New Roman"/>
                <w:sz w:val="24"/>
                <w:szCs w:val="24"/>
              </w:rPr>
              <w:br/>
              <w:t>Revenge</w:t>
            </w:r>
          </w:p>
        </w:tc>
        <w:tc>
          <w:tcPr>
            <w:tcW w:w="0" w:type="auto"/>
            <w:vAlign w:val="center"/>
            <w:hideMark/>
          </w:tcPr>
          <w:p w:rsidR="004E6EDB" w:rsidRPr="004E6EDB" w:rsidRDefault="004E6EDB" w:rsidP="004E6EDB">
            <w:pPr>
              <w:spacing w:before="100" w:beforeAutospacing="1" w:after="100" w:afterAutospacing="1" w:line="240" w:lineRule="auto"/>
              <w:rPr>
                <w:rFonts w:ascii="Times New Roman" w:eastAsia="Times New Roman" w:hAnsi="Times New Roman" w:cs="Times New Roman"/>
                <w:sz w:val="24"/>
                <w:szCs w:val="24"/>
              </w:rPr>
            </w:pPr>
            <w:r w:rsidRPr="004E6EDB">
              <w:rPr>
                <w:rFonts w:ascii="Times New Roman" w:eastAsia="Times New Roman" w:hAnsi="Times New Roman" w:cs="Times New Roman"/>
                <w:sz w:val="24"/>
                <w:szCs w:val="24"/>
              </w:rPr>
              <w:t>Bomb</w:t>
            </w:r>
            <w:r w:rsidRPr="004E6EDB">
              <w:rPr>
                <w:rFonts w:ascii="Times New Roman" w:eastAsia="Times New Roman" w:hAnsi="Times New Roman" w:cs="Times New Roman"/>
                <w:sz w:val="24"/>
                <w:szCs w:val="24"/>
              </w:rPr>
              <w:br/>
              <w:t>System penetration</w:t>
            </w:r>
            <w:r w:rsidRPr="004E6EDB">
              <w:rPr>
                <w:rFonts w:ascii="Times New Roman" w:eastAsia="Times New Roman" w:hAnsi="Times New Roman" w:cs="Times New Roman"/>
                <w:sz w:val="24"/>
                <w:szCs w:val="24"/>
              </w:rPr>
              <w:br/>
              <w:t>System tampering</w:t>
            </w:r>
          </w:p>
        </w:tc>
      </w:tr>
      <w:tr w:rsidR="004E6EDB" w:rsidRPr="004E6EDB" w:rsidTr="004E6EDB">
        <w:trPr>
          <w:tblCellSpacing w:w="15" w:type="dxa"/>
        </w:trPr>
        <w:tc>
          <w:tcPr>
            <w:tcW w:w="0" w:type="auto"/>
            <w:vAlign w:val="center"/>
            <w:hideMark/>
          </w:tcPr>
          <w:p w:rsidR="004E6EDB" w:rsidRPr="004E6EDB" w:rsidRDefault="004E6EDB" w:rsidP="004E6EDB">
            <w:pPr>
              <w:spacing w:before="100" w:beforeAutospacing="1" w:after="100" w:afterAutospacing="1" w:line="240" w:lineRule="auto"/>
              <w:rPr>
                <w:rFonts w:ascii="Times New Roman" w:eastAsia="Times New Roman" w:hAnsi="Times New Roman" w:cs="Times New Roman"/>
                <w:sz w:val="24"/>
                <w:szCs w:val="24"/>
              </w:rPr>
            </w:pPr>
            <w:r w:rsidRPr="004E6EDB">
              <w:rPr>
                <w:rFonts w:ascii="Times New Roman" w:eastAsia="Times New Roman" w:hAnsi="Times New Roman" w:cs="Times New Roman"/>
                <w:sz w:val="24"/>
                <w:szCs w:val="24"/>
              </w:rPr>
              <w:t>Espionage</w:t>
            </w:r>
          </w:p>
        </w:tc>
        <w:tc>
          <w:tcPr>
            <w:tcW w:w="0" w:type="auto"/>
            <w:vAlign w:val="center"/>
            <w:hideMark/>
          </w:tcPr>
          <w:p w:rsidR="004E6EDB" w:rsidRPr="004E6EDB" w:rsidRDefault="004E6EDB" w:rsidP="004E6EDB">
            <w:pPr>
              <w:spacing w:before="100" w:beforeAutospacing="1" w:after="100" w:afterAutospacing="1" w:line="240" w:lineRule="auto"/>
              <w:rPr>
                <w:rFonts w:ascii="Times New Roman" w:eastAsia="Times New Roman" w:hAnsi="Times New Roman" w:cs="Times New Roman"/>
                <w:sz w:val="24"/>
                <w:szCs w:val="24"/>
              </w:rPr>
            </w:pPr>
            <w:r w:rsidRPr="004E6EDB">
              <w:rPr>
                <w:rFonts w:ascii="Times New Roman" w:eastAsia="Times New Roman" w:hAnsi="Times New Roman" w:cs="Times New Roman"/>
                <w:sz w:val="24"/>
                <w:szCs w:val="24"/>
              </w:rPr>
              <w:t>Competitive advantage</w:t>
            </w:r>
            <w:r w:rsidRPr="004E6EDB">
              <w:rPr>
                <w:rFonts w:ascii="Times New Roman" w:eastAsia="Times New Roman" w:hAnsi="Times New Roman" w:cs="Times New Roman"/>
                <w:sz w:val="24"/>
                <w:szCs w:val="24"/>
              </w:rPr>
              <w:br/>
              <w:t>Economic espionage</w:t>
            </w:r>
          </w:p>
        </w:tc>
        <w:tc>
          <w:tcPr>
            <w:tcW w:w="0" w:type="auto"/>
            <w:vAlign w:val="center"/>
            <w:hideMark/>
          </w:tcPr>
          <w:p w:rsidR="004E6EDB" w:rsidRPr="004E6EDB" w:rsidRDefault="004E6EDB" w:rsidP="004E6EDB">
            <w:pPr>
              <w:spacing w:before="100" w:beforeAutospacing="1" w:after="100" w:afterAutospacing="1" w:line="240" w:lineRule="auto"/>
              <w:rPr>
                <w:rFonts w:ascii="Times New Roman" w:eastAsia="Times New Roman" w:hAnsi="Times New Roman" w:cs="Times New Roman"/>
                <w:sz w:val="24"/>
                <w:szCs w:val="24"/>
              </w:rPr>
            </w:pPr>
            <w:r w:rsidRPr="004E6EDB">
              <w:rPr>
                <w:rFonts w:ascii="Times New Roman" w:eastAsia="Times New Roman" w:hAnsi="Times New Roman" w:cs="Times New Roman"/>
                <w:sz w:val="24"/>
                <w:szCs w:val="24"/>
              </w:rPr>
              <w:t>Economic exploitation</w:t>
            </w:r>
            <w:r w:rsidRPr="004E6EDB">
              <w:rPr>
                <w:rFonts w:ascii="Times New Roman" w:eastAsia="Times New Roman" w:hAnsi="Times New Roman" w:cs="Times New Roman"/>
                <w:sz w:val="24"/>
                <w:szCs w:val="24"/>
              </w:rPr>
              <w:br/>
              <w:t>Information theft</w:t>
            </w:r>
            <w:r w:rsidRPr="004E6EDB">
              <w:rPr>
                <w:rFonts w:ascii="Times New Roman" w:eastAsia="Times New Roman" w:hAnsi="Times New Roman" w:cs="Times New Roman"/>
                <w:sz w:val="24"/>
                <w:szCs w:val="24"/>
              </w:rPr>
              <w:br/>
              <w:t>Social engineering</w:t>
            </w:r>
          </w:p>
        </w:tc>
      </w:tr>
      <w:tr w:rsidR="004E6EDB" w:rsidRPr="004E6EDB" w:rsidTr="004E6EDB">
        <w:trPr>
          <w:tblCellSpacing w:w="15" w:type="dxa"/>
        </w:trPr>
        <w:tc>
          <w:tcPr>
            <w:tcW w:w="0" w:type="auto"/>
            <w:vAlign w:val="center"/>
            <w:hideMark/>
          </w:tcPr>
          <w:p w:rsidR="004E6EDB" w:rsidRPr="004E6EDB" w:rsidRDefault="004E6EDB" w:rsidP="004E6EDB">
            <w:pPr>
              <w:spacing w:before="100" w:beforeAutospacing="1" w:after="100" w:afterAutospacing="1" w:line="240" w:lineRule="auto"/>
              <w:rPr>
                <w:rFonts w:ascii="Times New Roman" w:eastAsia="Times New Roman" w:hAnsi="Times New Roman" w:cs="Times New Roman"/>
                <w:sz w:val="24"/>
                <w:szCs w:val="24"/>
              </w:rPr>
            </w:pPr>
            <w:r w:rsidRPr="004E6EDB">
              <w:rPr>
                <w:rFonts w:ascii="Times New Roman" w:eastAsia="Times New Roman" w:hAnsi="Times New Roman" w:cs="Times New Roman"/>
                <w:sz w:val="24"/>
                <w:szCs w:val="24"/>
              </w:rPr>
              <w:t>Insiders</w:t>
            </w:r>
          </w:p>
        </w:tc>
        <w:tc>
          <w:tcPr>
            <w:tcW w:w="0" w:type="auto"/>
            <w:vAlign w:val="center"/>
            <w:hideMark/>
          </w:tcPr>
          <w:p w:rsidR="004E6EDB" w:rsidRPr="004E6EDB" w:rsidRDefault="004E6EDB" w:rsidP="004E6EDB">
            <w:pPr>
              <w:spacing w:before="100" w:beforeAutospacing="1" w:after="100" w:afterAutospacing="1" w:line="240" w:lineRule="auto"/>
              <w:rPr>
                <w:rFonts w:ascii="Times New Roman" w:eastAsia="Times New Roman" w:hAnsi="Times New Roman" w:cs="Times New Roman"/>
                <w:sz w:val="24"/>
                <w:szCs w:val="24"/>
              </w:rPr>
            </w:pPr>
            <w:r w:rsidRPr="004E6EDB">
              <w:rPr>
                <w:rFonts w:ascii="Times New Roman" w:eastAsia="Times New Roman" w:hAnsi="Times New Roman" w:cs="Times New Roman"/>
                <w:sz w:val="24"/>
                <w:szCs w:val="24"/>
              </w:rPr>
              <w:t>Curiosity</w:t>
            </w:r>
            <w:r w:rsidRPr="004E6EDB">
              <w:rPr>
                <w:rFonts w:ascii="Times New Roman" w:eastAsia="Times New Roman" w:hAnsi="Times New Roman" w:cs="Times New Roman"/>
                <w:sz w:val="24"/>
                <w:szCs w:val="24"/>
              </w:rPr>
              <w:br/>
              <w:t>Ego</w:t>
            </w:r>
            <w:r w:rsidRPr="004E6EDB">
              <w:rPr>
                <w:rFonts w:ascii="Times New Roman" w:eastAsia="Times New Roman" w:hAnsi="Times New Roman" w:cs="Times New Roman"/>
                <w:sz w:val="24"/>
                <w:szCs w:val="24"/>
              </w:rPr>
              <w:br/>
              <w:t>Revenge</w:t>
            </w:r>
            <w:r w:rsidRPr="004E6EDB">
              <w:rPr>
                <w:rFonts w:ascii="Times New Roman" w:eastAsia="Times New Roman" w:hAnsi="Times New Roman" w:cs="Times New Roman"/>
                <w:sz w:val="24"/>
                <w:szCs w:val="24"/>
              </w:rPr>
              <w:br/>
              <w:t>Unintentional errors</w:t>
            </w:r>
          </w:p>
        </w:tc>
        <w:tc>
          <w:tcPr>
            <w:tcW w:w="0" w:type="auto"/>
            <w:vAlign w:val="center"/>
            <w:hideMark/>
          </w:tcPr>
          <w:p w:rsidR="004E6EDB" w:rsidRPr="004E6EDB" w:rsidRDefault="004E6EDB" w:rsidP="004E6EDB">
            <w:pPr>
              <w:spacing w:before="100" w:beforeAutospacing="1" w:after="100" w:afterAutospacing="1" w:line="240" w:lineRule="auto"/>
              <w:rPr>
                <w:rFonts w:ascii="Times New Roman" w:eastAsia="Times New Roman" w:hAnsi="Times New Roman" w:cs="Times New Roman"/>
                <w:sz w:val="24"/>
                <w:szCs w:val="24"/>
              </w:rPr>
            </w:pPr>
            <w:r w:rsidRPr="004E6EDB">
              <w:rPr>
                <w:rFonts w:ascii="Times New Roman" w:eastAsia="Times New Roman" w:hAnsi="Times New Roman" w:cs="Times New Roman"/>
                <w:sz w:val="24"/>
                <w:szCs w:val="24"/>
              </w:rPr>
              <w:t>System bugs</w:t>
            </w:r>
            <w:r w:rsidRPr="004E6EDB">
              <w:rPr>
                <w:rFonts w:ascii="Times New Roman" w:eastAsia="Times New Roman" w:hAnsi="Times New Roman" w:cs="Times New Roman"/>
                <w:sz w:val="24"/>
                <w:szCs w:val="24"/>
              </w:rPr>
              <w:br/>
              <w:t>System sabotage</w:t>
            </w:r>
            <w:r w:rsidRPr="004E6EDB">
              <w:rPr>
                <w:rFonts w:ascii="Times New Roman" w:eastAsia="Times New Roman" w:hAnsi="Times New Roman" w:cs="Times New Roman"/>
                <w:sz w:val="24"/>
                <w:szCs w:val="24"/>
              </w:rPr>
              <w:br/>
              <w:t>Unauthorized access</w:t>
            </w:r>
            <w:r w:rsidRPr="004E6EDB">
              <w:rPr>
                <w:rFonts w:ascii="Times New Roman" w:eastAsia="Times New Roman" w:hAnsi="Times New Roman" w:cs="Times New Roman"/>
                <w:sz w:val="24"/>
                <w:szCs w:val="24"/>
              </w:rPr>
              <w:br/>
              <w:t>Computer abuse</w:t>
            </w:r>
          </w:p>
        </w:tc>
      </w:tr>
    </w:tbl>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Vulnerability Analysis</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xml:space="preserve">After performing a threat analysis, you need to identify weaknesses or flaws. Specifically, you need to identify vulnerabilities that can be exploited by the previously identified threats. This is known as </w:t>
      </w:r>
      <w:r w:rsidRPr="004E6EDB">
        <w:rPr>
          <w:rFonts w:ascii="Times New Roman" w:eastAsia="Times New Roman" w:hAnsi="Times New Roman" w:cs="Times New Roman"/>
          <w:b/>
          <w:bCs/>
          <w:color w:val="000000"/>
          <w:sz w:val="24"/>
          <w:szCs w:val="24"/>
        </w:rPr>
        <w:t>vulnerability analysis</w:t>
      </w:r>
      <w:r w:rsidRPr="004E6EDB">
        <w:rPr>
          <w:rFonts w:ascii="Times New Roman" w:eastAsia="Times New Roman" w:hAnsi="Times New Roman" w:cs="Times New Roman"/>
          <w:color w:val="000000"/>
          <w:sz w:val="24"/>
          <w:szCs w:val="24"/>
        </w:rPr>
        <w:t>. There are many ways to identify vulnerabilities. Examples include the following:</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Vulnerability lists and databases published by industry organizations</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Security advisories</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Software and security analysis using automated tools</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noProof/>
          <w:color w:val="000000"/>
          <w:sz w:val="24"/>
          <w:szCs w:val="24"/>
        </w:rPr>
        <mc:AlternateContent>
          <mc:Choice Requires="wps">
            <w:drawing>
              <wp:inline distT="0" distB="0" distL="0" distR="0">
                <wp:extent cx="304800" cy="304800"/>
                <wp:effectExtent l="0" t="0" r="0" b="0"/>
                <wp:docPr id="1" name="Rectangle 1"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D6D061" id="Rectangle 1"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Cys5be6AgAAxQ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4E6EDB">
        <w:rPr>
          <w:rFonts w:ascii="Times New Roman" w:eastAsia="Times New Roman" w:hAnsi="Times New Roman" w:cs="Times New Roman"/>
          <w:b/>
          <w:bCs/>
          <w:color w:val="000000"/>
          <w:sz w:val="24"/>
          <w:szCs w:val="24"/>
        </w:rPr>
        <w:t>TIP</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The MITRE Corporation catalogs vulnerabilities in the Common Vulnerabilities and Exposures (CVE), which includes tens of thousands of items.</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 xml:space="preserve">It is important to consider threats relative to vulnerabilities. Think about operating system patches issued by Microsoft or Apple. Typically, these fix potential vulnerabilities, which were previously unknown and have since been discovered. In most cases, these vulnerabilities affect a particular piece of the system. Say, for example, Microsoft issues a patch to fix a vulnerability for a particular service of the operating system. However, what if you don’t use this service or the service is turned off? In this case, the vulnerability is not really vulnerable. What if the particular system you use does not and will never be connected to the Internet? In this case, the threat in question does not exist. This is why </w:t>
      </w:r>
    </w:p>
    <w:p w:rsidR="004E6EDB" w:rsidRPr="004E6EDB" w:rsidRDefault="004E6EDB" w:rsidP="004E6EDB">
      <w:pPr>
        <w:spacing w:before="100" w:beforeAutospacing="1" w:after="100" w:afterAutospacing="1" w:line="240" w:lineRule="auto"/>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(Martin 100-111)</w:t>
      </w:r>
    </w:p>
    <w:p w:rsidR="004E6EDB" w:rsidRPr="004E6EDB" w:rsidRDefault="004E6EDB" w:rsidP="004E6EDB">
      <w:pPr>
        <w:spacing w:before="100" w:beforeAutospacing="1" w:after="100" w:afterAutospacing="1" w:line="240" w:lineRule="auto"/>
        <w:ind w:left="720" w:hanging="720"/>
        <w:rPr>
          <w:rFonts w:ascii="Times New Roman" w:eastAsia="Times New Roman" w:hAnsi="Times New Roman" w:cs="Times New Roman"/>
          <w:color w:val="000000"/>
          <w:sz w:val="24"/>
          <w:szCs w:val="24"/>
        </w:rPr>
      </w:pPr>
      <w:r w:rsidRPr="004E6EDB">
        <w:rPr>
          <w:rFonts w:ascii="Times New Roman" w:eastAsia="Times New Roman" w:hAnsi="Times New Roman" w:cs="Times New Roman"/>
          <w:color w:val="000000"/>
          <w:sz w:val="24"/>
          <w:szCs w:val="24"/>
        </w:rPr>
        <w:t>Martin, Weiss</w:t>
      </w:r>
      <w:proofErr w:type="gramStart"/>
      <w:r w:rsidRPr="004E6EDB">
        <w:rPr>
          <w:rFonts w:ascii="Times New Roman" w:eastAsia="Times New Roman" w:hAnsi="Times New Roman" w:cs="Times New Roman"/>
          <w:color w:val="000000"/>
          <w:sz w:val="24"/>
          <w:szCs w:val="24"/>
        </w:rPr>
        <w:t>,,</w:t>
      </w:r>
      <w:proofErr w:type="gramEnd"/>
      <w:r w:rsidRPr="004E6EDB">
        <w:rPr>
          <w:rFonts w:ascii="Times New Roman" w:eastAsia="Times New Roman" w:hAnsi="Times New Roman" w:cs="Times New Roman"/>
          <w:color w:val="000000"/>
          <w:sz w:val="24"/>
          <w:szCs w:val="24"/>
        </w:rPr>
        <w:t xml:space="preserve"> Solomon, G.. </w:t>
      </w:r>
      <w:r w:rsidRPr="004E6EDB">
        <w:rPr>
          <w:rFonts w:ascii="Times New Roman" w:eastAsia="Times New Roman" w:hAnsi="Times New Roman" w:cs="Times New Roman"/>
          <w:i/>
          <w:iCs/>
          <w:color w:val="000000"/>
          <w:sz w:val="24"/>
          <w:szCs w:val="24"/>
        </w:rPr>
        <w:t>Auditing IT Infrastructures for Compliance, 2nd Edition</w:t>
      </w:r>
      <w:r w:rsidRPr="004E6EDB">
        <w:rPr>
          <w:rFonts w:ascii="Times New Roman" w:eastAsia="Times New Roman" w:hAnsi="Times New Roman" w:cs="Times New Roman"/>
          <w:color w:val="000000"/>
          <w:sz w:val="24"/>
          <w:szCs w:val="24"/>
        </w:rPr>
        <w:t>. Jones &amp; Bartlett Learning, 07/2015. VitalBook file.</w:t>
      </w:r>
    </w:p>
    <w:p w:rsidR="002D4077" w:rsidRDefault="004E6EDB" w:rsidP="004E6EDB">
      <w:pPr>
        <w:spacing w:before="100" w:beforeAutospacing="1" w:after="100" w:afterAutospacing="1" w:line="240" w:lineRule="auto"/>
      </w:pPr>
      <w:r w:rsidRPr="004E6EDB">
        <w:rPr>
          <w:rFonts w:ascii="Times New Roman" w:eastAsia="Times New Roman" w:hAnsi="Times New Roman" w:cs="Times New Roman"/>
          <w:color w:val="000000"/>
          <w:sz w:val="24"/>
          <w:szCs w:val="24"/>
        </w:rPr>
        <w:t>The citation provided is a guideline. Please check each citation for accuracy before use.</w:t>
      </w:r>
    </w:p>
    <w:sectPr w:rsidR="002D40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EDB"/>
    <w:rsid w:val="00161254"/>
    <w:rsid w:val="002D4077"/>
    <w:rsid w:val="004E6EDB"/>
    <w:rsid w:val="00B27625"/>
    <w:rsid w:val="00BC1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C43323-2093-47EA-8313-5ABB5427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o">
    <w:name w:val="chno"/>
    <w:basedOn w:val="Normal"/>
    <w:rsid w:val="004E6E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g">
    <w:name w:val="big"/>
    <w:basedOn w:val="DefaultParagraphFont"/>
    <w:rsid w:val="004E6EDB"/>
  </w:style>
  <w:style w:type="paragraph" w:customStyle="1" w:styleId="chtitle">
    <w:name w:val="chtitle"/>
    <w:basedOn w:val="Normal"/>
    <w:rsid w:val="004E6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entf">
    <w:name w:val="noindentf"/>
    <w:basedOn w:val="Normal"/>
    <w:rsid w:val="004E6E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4E6EDB"/>
  </w:style>
  <w:style w:type="paragraph" w:customStyle="1" w:styleId="indentf">
    <w:name w:val="indentf"/>
    <w:basedOn w:val="Normal"/>
    <w:rsid w:val="004E6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
    <w:name w:val="chap"/>
    <w:basedOn w:val="Normal"/>
    <w:rsid w:val="004E6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n">
    <w:name w:val="chapn"/>
    <w:basedOn w:val="Normal"/>
    <w:rsid w:val="004E6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bull">
    <w:name w:val="chbull"/>
    <w:basedOn w:val="Normal"/>
    <w:rsid w:val="004E6E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h">
    <w:name w:val="ash"/>
    <w:basedOn w:val="DefaultParagraphFont"/>
    <w:rsid w:val="004E6EDB"/>
  </w:style>
  <w:style w:type="paragraph" w:customStyle="1" w:styleId="h1">
    <w:name w:val="h1"/>
    <w:basedOn w:val="Normal"/>
    <w:rsid w:val="004E6E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b">
    <w:name w:val="hb"/>
    <w:basedOn w:val="DefaultParagraphFont"/>
    <w:rsid w:val="004E6EDB"/>
  </w:style>
  <w:style w:type="paragraph" w:customStyle="1" w:styleId="noindent">
    <w:name w:val="noindent"/>
    <w:basedOn w:val="Normal"/>
    <w:rsid w:val="004E6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
    <w:name w:val="indent"/>
    <w:basedOn w:val="Normal"/>
    <w:rsid w:val="004E6E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b">
    <w:name w:val="fb"/>
    <w:basedOn w:val="DefaultParagraphFont"/>
    <w:rsid w:val="004E6EDB"/>
  </w:style>
  <w:style w:type="paragraph" w:customStyle="1" w:styleId="bullt">
    <w:name w:val="bullt"/>
    <w:basedOn w:val="Normal"/>
    <w:rsid w:val="004E6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
    <w:name w:val="bull"/>
    <w:basedOn w:val="Normal"/>
    <w:rsid w:val="004E6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entt">
    <w:name w:val="noindentt"/>
    <w:basedOn w:val="Normal"/>
    <w:rsid w:val="004E6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
    <w:name w:val="head"/>
    <w:basedOn w:val="Normal"/>
    <w:rsid w:val="004E6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enttx">
    <w:name w:val="noindenttx"/>
    <w:basedOn w:val="Normal"/>
    <w:rsid w:val="004E6E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bi">
    <w:name w:val="fbi"/>
    <w:basedOn w:val="DefaultParagraphFont"/>
    <w:rsid w:val="004E6EDB"/>
  </w:style>
  <w:style w:type="paragraph" w:customStyle="1" w:styleId="h2">
    <w:name w:val="h2"/>
    <w:basedOn w:val="Normal"/>
    <w:rsid w:val="004E6ED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E6EDB"/>
    <w:rPr>
      <w:color w:val="0000FF"/>
      <w:u w:val="single"/>
    </w:rPr>
  </w:style>
  <w:style w:type="paragraph" w:customStyle="1" w:styleId="image">
    <w:name w:val="image"/>
    <w:basedOn w:val="Normal"/>
    <w:rsid w:val="004E6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caption">
    <w:name w:val="figcaption"/>
    <w:basedOn w:val="Normal"/>
    <w:rsid w:val="004E6E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g">
    <w:name w:val="fig"/>
    <w:basedOn w:val="DefaultParagraphFont"/>
    <w:rsid w:val="004E6EDB"/>
  </w:style>
  <w:style w:type="character" w:customStyle="1" w:styleId="fbl">
    <w:name w:val="fbl"/>
    <w:basedOn w:val="DefaultParagraphFont"/>
    <w:rsid w:val="004E6EDB"/>
  </w:style>
  <w:style w:type="paragraph" w:customStyle="1" w:styleId="bulla">
    <w:name w:val="bulla"/>
    <w:basedOn w:val="Normal"/>
    <w:rsid w:val="004E6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h">
    <w:name w:val="tiph"/>
    <w:basedOn w:val="Normal"/>
    <w:rsid w:val="004E6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
    <w:name w:val="tipn"/>
    <w:basedOn w:val="Normal"/>
    <w:rsid w:val="004E6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caption">
    <w:name w:val="tcaption"/>
    <w:basedOn w:val="Normal"/>
    <w:rsid w:val="004E6E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cap">
    <w:name w:val="tcap"/>
    <w:basedOn w:val="DefaultParagraphFont"/>
    <w:rsid w:val="004E6EDB"/>
  </w:style>
  <w:style w:type="paragraph" w:customStyle="1" w:styleId="tab1hh">
    <w:name w:val="tab1hh"/>
    <w:basedOn w:val="Normal"/>
    <w:rsid w:val="004E6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1">
    <w:name w:val="tab1"/>
    <w:basedOn w:val="Normal"/>
    <w:rsid w:val="004E6ED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E6E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985438">
      <w:bodyDiv w:val="1"/>
      <w:marLeft w:val="0"/>
      <w:marRight w:val="0"/>
      <w:marTop w:val="0"/>
      <w:marBottom w:val="0"/>
      <w:divBdr>
        <w:top w:val="none" w:sz="0" w:space="0" w:color="auto"/>
        <w:left w:val="none" w:sz="0" w:space="0" w:color="auto"/>
        <w:bottom w:val="none" w:sz="0" w:space="0" w:color="auto"/>
        <w:right w:val="none" w:sz="0" w:space="0" w:color="auto"/>
      </w:divBdr>
      <w:divsChild>
        <w:div w:id="1655791143">
          <w:marLeft w:val="0"/>
          <w:marRight w:val="0"/>
          <w:marTop w:val="0"/>
          <w:marBottom w:val="0"/>
          <w:divBdr>
            <w:top w:val="none" w:sz="0" w:space="0" w:color="auto"/>
            <w:left w:val="none" w:sz="0" w:space="0" w:color="auto"/>
            <w:bottom w:val="none" w:sz="0" w:space="0" w:color="auto"/>
            <w:right w:val="none" w:sz="0" w:space="0" w:color="auto"/>
          </w:divBdr>
          <w:divsChild>
            <w:div w:id="186532435">
              <w:marLeft w:val="0"/>
              <w:marRight w:val="0"/>
              <w:marTop w:val="0"/>
              <w:marBottom w:val="0"/>
              <w:divBdr>
                <w:top w:val="none" w:sz="0" w:space="0" w:color="auto"/>
                <w:left w:val="none" w:sz="0" w:space="0" w:color="auto"/>
                <w:bottom w:val="none" w:sz="0" w:space="0" w:color="auto"/>
                <w:right w:val="none" w:sz="0" w:space="0" w:color="auto"/>
              </w:divBdr>
            </w:div>
            <w:div w:id="364716531">
              <w:marLeft w:val="0"/>
              <w:marRight w:val="0"/>
              <w:marTop w:val="0"/>
              <w:marBottom w:val="0"/>
              <w:divBdr>
                <w:top w:val="none" w:sz="0" w:space="0" w:color="auto"/>
                <w:left w:val="none" w:sz="0" w:space="0" w:color="auto"/>
                <w:bottom w:val="none" w:sz="0" w:space="0" w:color="auto"/>
                <w:right w:val="none" w:sz="0" w:space="0" w:color="auto"/>
              </w:divBdr>
            </w:div>
            <w:div w:id="109253087">
              <w:marLeft w:val="0"/>
              <w:marRight w:val="0"/>
              <w:marTop w:val="0"/>
              <w:marBottom w:val="0"/>
              <w:divBdr>
                <w:top w:val="none" w:sz="0" w:space="0" w:color="auto"/>
                <w:left w:val="none" w:sz="0" w:space="0" w:color="auto"/>
                <w:bottom w:val="none" w:sz="0" w:space="0" w:color="auto"/>
                <w:right w:val="none" w:sz="0" w:space="0" w:color="auto"/>
              </w:divBdr>
            </w:div>
            <w:div w:id="2003048909">
              <w:marLeft w:val="0"/>
              <w:marRight w:val="0"/>
              <w:marTop w:val="0"/>
              <w:marBottom w:val="0"/>
              <w:divBdr>
                <w:top w:val="none" w:sz="0" w:space="0" w:color="auto"/>
                <w:left w:val="none" w:sz="0" w:space="0" w:color="auto"/>
                <w:bottom w:val="none" w:sz="0" w:space="0" w:color="auto"/>
                <w:right w:val="none" w:sz="0" w:space="0" w:color="auto"/>
              </w:divBdr>
            </w:div>
            <w:div w:id="1263760274">
              <w:marLeft w:val="0"/>
              <w:marRight w:val="0"/>
              <w:marTop w:val="0"/>
              <w:marBottom w:val="0"/>
              <w:divBdr>
                <w:top w:val="none" w:sz="0" w:space="0" w:color="auto"/>
                <w:left w:val="none" w:sz="0" w:space="0" w:color="auto"/>
                <w:bottom w:val="none" w:sz="0" w:space="0" w:color="auto"/>
                <w:right w:val="none" w:sz="0" w:space="0" w:color="auto"/>
              </w:divBdr>
            </w:div>
            <w:div w:id="46073275">
              <w:marLeft w:val="0"/>
              <w:marRight w:val="0"/>
              <w:marTop w:val="0"/>
              <w:marBottom w:val="0"/>
              <w:divBdr>
                <w:top w:val="none" w:sz="0" w:space="0" w:color="auto"/>
                <w:left w:val="none" w:sz="0" w:space="0" w:color="auto"/>
                <w:bottom w:val="none" w:sz="0" w:space="0" w:color="auto"/>
                <w:right w:val="none" w:sz="0" w:space="0" w:color="auto"/>
              </w:divBdr>
            </w:div>
            <w:div w:id="1825970250">
              <w:marLeft w:val="0"/>
              <w:marRight w:val="0"/>
              <w:marTop w:val="0"/>
              <w:marBottom w:val="0"/>
              <w:divBdr>
                <w:top w:val="none" w:sz="0" w:space="0" w:color="auto"/>
                <w:left w:val="none" w:sz="0" w:space="0" w:color="auto"/>
                <w:bottom w:val="none" w:sz="0" w:space="0" w:color="auto"/>
                <w:right w:val="none" w:sz="0" w:space="0" w:color="auto"/>
              </w:divBdr>
            </w:div>
            <w:div w:id="1572429566">
              <w:marLeft w:val="0"/>
              <w:marRight w:val="0"/>
              <w:marTop w:val="0"/>
              <w:marBottom w:val="0"/>
              <w:divBdr>
                <w:top w:val="none" w:sz="0" w:space="0" w:color="auto"/>
                <w:left w:val="none" w:sz="0" w:space="0" w:color="auto"/>
                <w:bottom w:val="none" w:sz="0" w:space="0" w:color="auto"/>
                <w:right w:val="none" w:sz="0" w:space="0" w:color="auto"/>
              </w:divBdr>
              <w:divsChild>
                <w:div w:id="173061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pub/ftu7d5ig0nyyjml5juao.vbk/OEBPS/xhtml/14_Chapter05.xhtml" TargetMode="External"/><Relationship Id="rId3" Type="http://schemas.openxmlformats.org/officeDocument/2006/relationships/webSettings" Target="webSettings.xml"/><Relationship Id="rId7" Type="http://schemas.openxmlformats.org/officeDocument/2006/relationships/hyperlink" Target="http://e.pub/ftu7d5ig0nyyjml5juao.vbk/OEBPS/xhtml/14_Chapter05.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pub/ftu7d5ig0nyyjml5juao.vbk/OEBPS/xhtml/14_Chapter05.x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e.pub/ftu7d5ig0nyyjml5juao.vbk/OEBPS/xhtml/14_Chapter05.x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3825</Words>
  <Characters>21807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Brown</dc:creator>
  <cp:keywords/>
  <dc:description/>
  <cp:lastModifiedBy>augky</cp:lastModifiedBy>
  <cp:revision>2</cp:revision>
  <dcterms:created xsi:type="dcterms:W3CDTF">2018-08-20T02:52:00Z</dcterms:created>
  <dcterms:modified xsi:type="dcterms:W3CDTF">2018-08-20T02:52:00Z</dcterms:modified>
</cp:coreProperties>
</file>